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4C581"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41F9CEB0"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r w:rsidRPr="004C739A">
        <w:rPr>
          <w:rStyle w:val="Emphasis"/>
          <w:rFonts w:ascii="Helvetica" w:hAnsi="Helvetica" w:cs="Helvetica"/>
          <w:color w:val="1C1E29"/>
          <w:sz w:val="22"/>
          <w:szCs w:val="22"/>
        </w:rPr>
        <w:t>To the Council of Europe Commissionaire for Human Rights </w:t>
      </w:r>
    </w:p>
    <w:p w14:paraId="277B1446"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37C58F35" w14:textId="01615C2C" w:rsidR="00D03975" w:rsidRDefault="00D03975" w:rsidP="00D03975">
      <w:pPr>
        <w:pStyle w:val="NormalWeb"/>
        <w:spacing w:before="0" w:beforeAutospacing="0" w:after="0" w:afterAutospacing="0"/>
        <w:jc w:val="both"/>
        <w:rPr>
          <w:rStyle w:val="Emphasis"/>
          <w:rFonts w:ascii="Helvetica" w:hAnsi="Helvetica" w:cs="Helvetica"/>
          <w:color w:val="1C1E29"/>
          <w:sz w:val="22"/>
          <w:szCs w:val="22"/>
        </w:rPr>
      </w:pPr>
      <w:r w:rsidRPr="004C739A">
        <w:rPr>
          <w:rStyle w:val="Emphasis"/>
          <w:rFonts w:ascii="Helvetica" w:hAnsi="Helvetica" w:cs="Helvetica"/>
          <w:color w:val="1C1E29"/>
          <w:sz w:val="22"/>
          <w:szCs w:val="22"/>
        </w:rPr>
        <w:t>To the Parliamentary Assembly of Council of Europe </w:t>
      </w:r>
    </w:p>
    <w:p w14:paraId="0F19AAE0" w14:textId="66BD1144" w:rsidR="00323B2A" w:rsidRDefault="00323B2A" w:rsidP="00D03975">
      <w:pPr>
        <w:pStyle w:val="NormalWeb"/>
        <w:spacing w:before="0" w:beforeAutospacing="0" w:after="0" w:afterAutospacing="0"/>
        <w:jc w:val="both"/>
        <w:rPr>
          <w:rStyle w:val="Emphasis"/>
          <w:rFonts w:ascii="Helvetica" w:hAnsi="Helvetica" w:cs="Helvetica"/>
          <w:color w:val="1C1E29"/>
          <w:sz w:val="22"/>
          <w:szCs w:val="22"/>
        </w:rPr>
      </w:pPr>
    </w:p>
    <w:p w14:paraId="7E4C4464" w14:textId="33BBA321" w:rsidR="00323B2A" w:rsidRPr="00323B2A" w:rsidRDefault="00323B2A" w:rsidP="00D03975">
      <w:pPr>
        <w:pStyle w:val="NormalWeb"/>
        <w:spacing w:before="0" w:beforeAutospacing="0" w:after="0" w:afterAutospacing="0"/>
        <w:jc w:val="both"/>
        <w:rPr>
          <w:rFonts w:ascii="Helvetica" w:hAnsi="Helvetica" w:cs="Helvetica"/>
          <w:color w:val="1C1E29"/>
          <w:sz w:val="22"/>
          <w:szCs w:val="22"/>
        </w:rPr>
      </w:pPr>
      <w:r>
        <w:rPr>
          <w:rStyle w:val="Emphasis"/>
          <w:rFonts w:ascii="Helvetica" w:hAnsi="Helvetica" w:cs="Helvetica"/>
          <w:color w:val="1C1E29"/>
          <w:sz w:val="22"/>
          <w:szCs w:val="22"/>
        </w:rPr>
        <w:t>To the International Committee of Red Cross (ICRC)</w:t>
      </w:r>
    </w:p>
    <w:p w14:paraId="3113AC90"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5ACFCEA7"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7137BB4D"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021962A0" w14:textId="77777777" w:rsidR="00D03975" w:rsidRPr="004C739A" w:rsidRDefault="00D03975" w:rsidP="00D03975">
      <w:pPr>
        <w:pStyle w:val="NormalWeb"/>
        <w:spacing w:before="0" w:beforeAutospacing="0" w:after="0" w:afterAutospacing="0"/>
        <w:jc w:val="center"/>
        <w:rPr>
          <w:rFonts w:ascii="Helvetica" w:hAnsi="Helvetica" w:cs="Helvetica"/>
          <w:color w:val="1C1E29"/>
          <w:sz w:val="22"/>
          <w:szCs w:val="22"/>
        </w:rPr>
      </w:pPr>
      <w:r w:rsidRPr="004C739A">
        <w:rPr>
          <w:rFonts w:ascii="Helvetica" w:hAnsi="Helvetica" w:cs="Helvetica"/>
          <w:color w:val="1C1E29"/>
          <w:sz w:val="22"/>
          <w:szCs w:val="22"/>
        </w:rPr>
        <w:t>The Joint Statement of Human Rights Organizations concerning pressing human rights conditions in South Ossetia, Georgia</w:t>
      </w:r>
    </w:p>
    <w:p w14:paraId="22E94C19"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r w:rsidRPr="004C739A">
        <w:rPr>
          <w:rFonts w:ascii="Helvetica" w:hAnsi="Helvetica" w:cs="Helvetica"/>
          <w:color w:val="1C1E29"/>
          <w:sz w:val="22"/>
          <w:szCs w:val="22"/>
        </w:rPr>
        <w:t>                                                                                                           </w:t>
      </w:r>
    </w:p>
    <w:p w14:paraId="6B1928DC" w14:textId="099854F9"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r w:rsidRPr="004C739A">
        <w:rPr>
          <w:rFonts w:ascii="Helvetica" w:hAnsi="Helvetica" w:cs="Helvetica"/>
          <w:color w:val="1C1E29"/>
          <w:sz w:val="22"/>
          <w:szCs w:val="22"/>
        </w:rPr>
        <w:t xml:space="preserve">This is a joint statement of Human Rights Organizations concerned about the deteriorating human rights situation in the occupied territories of Georgia and the quest for immediate and active measures to turn this damaging situation into a positive track. More specifically, we are referring to the pending regrettable developments in the occupied region of South Ossetia/Tskhinvali </w:t>
      </w:r>
      <w:r w:rsidR="004C739A" w:rsidRPr="004C739A">
        <w:rPr>
          <w:rFonts w:ascii="Helvetica" w:hAnsi="Helvetica" w:cs="Helvetica"/>
          <w:color w:val="1C1E29"/>
          <w:sz w:val="22"/>
          <w:szCs w:val="22"/>
        </w:rPr>
        <w:t>Re</w:t>
      </w:r>
      <w:r w:rsidRPr="004C739A">
        <w:rPr>
          <w:rFonts w:ascii="Helvetica" w:hAnsi="Helvetica" w:cs="Helvetica"/>
          <w:color w:val="1C1E29"/>
          <w:sz w:val="22"/>
          <w:szCs w:val="22"/>
        </w:rPr>
        <w:t>gio</w:t>
      </w:r>
      <w:r w:rsidR="004C739A" w:rsidRPr="004C739A">
        <w:rPr>
          <w:rFonts w:ascii="Helvetica" w:hAnsi="Helvetica" w:cs="Helvetica"/>
          <w:color w:val="1C1E29"/>
          <w:sz w:val="22"/>
          <w:szCs w:val="22"/>
        </w:rPr>
        <w:t xml:space="preserve">n. </w:t>
      </w:r>
      <w:r w:rsidRPr="004C739A">
        <w:rPr>
          <w:rFonts w:ascii="Helvetica" w:hAnsi="Helvetica" w:cs="Helvetica"/>
          <w:color w:val="1C1E29"/>
          <w:sz w:val="22"/>
          <w:szCs w:val="22"/>
        </w:rPr>
        <w:t>Among other stressing problems, hereby we would like to highlight the most recent arbitrary detention of the doctor-traumatologist Vaja Gaprindashvili, which requires urgent measures for his immediate release. </w:t>
      </w:r>
    </w:p>
    <w:p w14:paraId="3F415F3B"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49EF3612" w14:textId="34008D7B"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r w:rsidRPr="004C739A">
        <w:rPr>
          <w:rFonts w:ascii="Helvetica" w:hAnsi="Helvetica" w:cs="Helvetica"/>
          <w:color w:val="1C1E29"/>
          <w:sz w:val="22"/>
          <w:szCs w:val="22"/>
        </w:rPr>
        <w:t>In general, the lack of political and legal resolution of the prolonged conflicts strongly challenged the protection of human rights in and nearby conflict areas. The drawbacks and problems in that regard are reflected in several independent international human rights reports. Usually, these difficulties arise from time to time on a top political agenda, but in most cases, day-to-day problems and deprivation from basic human needs and rights are invisible, left beyond any emergency measures and attention. The challenges become more critical due to the lack of access to international human rights monitoring mechanisms. The only admitted international organization during emergencies is ICRC. </w:t>
      </w:r>
    </w:p>
    <w:p w14:paraId="78FA2FFF"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31103336" w14:textId="1256985A"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r w:rsidRPr="004C739A">
        <w:rPr>
          <w:rFonts w:ascii="Helvetica" w:hAnsi="Helvetica" w:cs="Helvetica"/>
          <w:color w:val="1C1E29"/>
          <w:sz w:val="22"/>
          <w:szCs w:val="22"/>
        </w:rPr>
        <w:t>Among various pressing human rights violations, violation of freedom of movement and its difficult consequences is most critical. The so-called “</w:t>
      </w:r>
      <w:proofErr w:type="spellStart"/>
      <w:r w:rsidRPr="004C739A">
        <w:rPr>
          <w:rFonts w:ascii="Helvetica" w:hAnsi="Helvetica" w:cs="Helvetica"/>
          <w:color w:val="1C1E29"/>
          <w:sz w:val="22"/>
          <w:szCs w:val="22"/>
        </w:rPr>
        <w:t>borderisation</w:t>
      </w:r>
      <w:proofErr w:type="spellEnd"/>
      <w:r w:rsidRPr="004C739A">
        <w:rPr>
          <w:rFonts w:ascii="Helvetica" w:hAnsi="Helvetica" w:cs="Helvetica"/>
          <w:color w:val="1C1E29"/>
          <w:sz w:val="22"/>
          <w:szCs w:val="22"/>
        </w:rPr>
        <w:t>” process has affected the residents of the villages located nearby the ABL and the whole process aimed at total isolation of occupied territories from Georgia. The “</w:t>
      </w:r>
      <w:proofErr w:type="spellStart"/>
      <w:r w:rsidRPr="004C739A">
        <w:rPr>
          <w:rFonts w:ascii="Helvetica" w:hAnsi="Helvetica" w:cs="Helvetica"/>
          <w:color w:val="1C1E29"/>
          <w:sz w:val="22"/>
          <w:szCs w:val="22"/>
        </w:rPr>
        <w:t>borderisation</w:t>
      </w:r>
      <w:proofErr w:type="spellEnd"/>
      <w:r w:rsidRPr="004C739A">
        <w:rPr>
          <w:rFonts w:ascii="Helvetica" w:hAnsi="Helvetica" w:cs="Helvetica"/>
          <w:color w:val="1C1E29"/>
          <w:sz w:val="22"/>
          <w:szCs w:val="22"/>
        </w:rPr>
        <w:t>” process and the practice of arbitrary closure crossing points obstructed economic and social communications between the communities living in and outside of occupied zones. This process became more active since 2017 nearby the occupied South Ossetian territory.</w:t>
      </w:r>
      <w:hyperlink w:anchor="_ftn1" w:tgtFrame="_blank" w:history="1">
        <w:r w:rsidRPr="004C739A">
          <w:rPr>
            <w:rStyle w:val="Hyperlink"/>
            <w:rFonts w:ascii="Helvetica" w:hAnsi="Helvetica" w:cs="Helvetica"/>
            <w:color w:val="4A6EE0"/>
            <w:sz w:val="22"/>
            <w:szCs w:val="22"/>
          </w:rPr>
          <w:t>[1]</w:t>
        </w:r>
      </w:hyperlink>
      <w:r w:rsidRPr="004C739A">
        <w:rPr>
          <w:rFonts w:ascii="Helvetica" w:hAnsi="Helvetica" w:cs="Helvetica"/>
          <w:color w:val="1C1E29"/>
          <w:sz w:val="22"/>
          <w:szCs w:val="22"/>
        </w:rPr>
        <w:t> The number of detained and fined people while crossing the “border” is increasing, including the detention of children who are crossing “border” for education purposes and women.</w:t>
      </w:r>
      <w:hyperlink w:anchor="_ftn2" w:tgtFrame="_blank" w:history="1">
        <w:r w:rsidRPr="004C739A">
          <w:rPr>
            <w:rStyle w:val="Hyperlink"/>
            <w:rFonts w:ascii="Helvetica" w:hAnsi="Helvetica" w:cs="Helvetica"/>
            <w:color w:val="4A6EE0"/>
            <w:sz w:val="22"/>
            <w:szCs w:val="22"/>
          </w:rPr>
          <w:t>[2]</w:t>
        </w:r>
      </w:hyperlink>
      <w:r w:rsidRPr="004C739A">
        <w:rPr>
          <w:rFonts w:ascii="Helvetica" w:hAnsi="Helvetica" w:cs="Helvetica"/>
          <w:color w:val="1C1E29"/>
          <w:sz w:val="22"/>
          <w:szCs w:val="22"/>
        </w:rPr>
        <w:t xml:space="preserve"> While the number of arbitrarily detained people was 7 in 2008 in South Ossetia, this number has increased almost 20 times in recent years, according to the official information of Georgian authorities. </w:t>
      </w:r>
      <w:r w:rsidR="00317AF5" w:rsidRPr="007419CF">
        <w:rPr>
          <w:rFonts w:ascii="Helvetica" w:hAnsi="Helvetica" w:cs="Helvetica"/>
          <w:color w:val="1C1E29"/>
          <w:sz w:val="22"/>
          <w:szCs w:val="22"/>
        </w:rPr>
        <w:t xml:space="preserve">In most of the </w:t>
      </w:r>
      <w:r w:rsidR="00F92590">
        <w:rPr>
          <w:rFonts w:ascii="Helvetica" w:hAnsi="Helvetica" w:cs="Helvetica"/>
          <w:color w:val="1C1E29"/>
          <w:sz w:val="22"/>
          <w:szCs w:val="22"/>
        </w:rPr>
        <w:t xml:space="preserve">reported </w:t>
      </w:r>
      <w:r w:rsidR="00317AF5" w:rsidRPr="007419CF">
        <w:rPr>
          <w:rFonts w:ascii="Helvetica" w:hAnsi="Helvetica" w:cs="Helvetica"/>
          <w:color w:val="1C1E29"/>
          <w:sz w:val="22"/>
          <w:szCs w:val="22"/>
        </w:rPr>
        <w:t xml:space="preserve">cases, the ethnic Georgians </w:t>
      </w:r>
      <w:r w:rsidR="007419CF">
        <w:rPr>
          <w:rFonts w:ascii="Helvetica" w:hAnsi="Helvetica" w:cs="Helvetica"/>
          <w:color w:val="1C1E29"/>
          <w:sz w:val="22"/>
          <w:szCs w:val="22"/>
        </w:rPr>
        <w:t>were</w:t>
      </w:r>
      <w:r w:rsidR="00317AF5" w:rsidRPr="007419CF">
        <w:rPr>
          <w:rFonts w:ascii="Helvetica" w:hAnsi="Helvetica" w:cs="Helvetica"/>
          <w:color w:val="1C1E29"/>
          <w:sz w:val="22"/>
          <w:szCs w:val="22"/>
        </w:rPr>
        <w:t xml:space="preserve"> detained by Russian and de-facto border guards under administrative procedure and in such incidents</w:t>
      </w:r>
      <w:r w:rsidR="007419CF">
        <w:rPr>
          <w:rFonts w:ascii="Helvetica" w:hAnsi="Helvetica" w:cs="Helvetica"/>
          <w:color w:val="1C1E29"/>
          <w:sz w:val="22"/>
          <w:szCs w:val="22"/>
        </w:rPr>
        <w:t>, the detention lasted</w:t>
      </w:r>
      <w:r w:rsidR="00317AF5" w:rsidRPr="007419CF">
        <w:rPr>
          <w:rFonts w:ascii="Helvetica" w:hAnsi="Helvetica" w:cs="Helvetica"/>
          <w:color w:val="1C1E29"/>
          <w:sz w:val="22"/>
          <w:szCs w:val="22"/>
        </w:rPr>
        <w:t xml:space="preserve"> for several days before </w:t>
      </w:r>
      <w:r w:rsidR="004308F2">
        <w:rPr>
          <w:rFonts w:ascii="Helvetica" w:hAnsi="Helvetica" w:cs="Helvetica"/>
          <w:color w:val="1C1E29"/>
          <w:sz w:val="22"/>
          <w:szCs w:val="22"/>
        </w:rPr>
        <w:t>detainees</w:t>
      </w:r>
      <w:r w:rsidR="00317AF5" w:rsidRPr="007419CF">
        <w:rPr>
          <w:rFonts w:ascii="Helvetica" w:hAnsi="Helvetica" w:cs="Helvetica"/>
          <w:color w:val="1C1E29"/>
          <w:sz w:val="22"/>
          <w:szCs w:val="22"/>
        </w:rPr>
        <w:t xml:space="preserve"> </w:t>
      </w:r>
      <w:r w:rsidR="007419CF">
        <w:rPr>
          <w:rFonts w:ascii="Helvetica" w:hAnsi="Helvetica" w:cs="Helvetica"/>
          <w:color w:val="1C1E29"/>
          <w:sz w:val="22"/>
          <w:szCs w:val="22"/>
        </w:rPr>
        <w:t>were</w:t>
      </w:r>
      <w:r w:rsidR="00317AF5" w:rsidRPr="007419CF">
        <w:rPr>
          <w:rFonts w:ascii="Helvetica" w:hAnsi="Helvetica" w:cs="Helvetica"/>
          <w:color w:val="1C1E29"/>
          <w:sz w:val="22"/>
          <w:szCs w:val="22"/>
        </w:rPr>
        <w:t xml:space="preserve"> released upon payment of relevant </w:t>
      </w:r>
      <w:proofErr w:type="gramStart"/>
      <w:r w:rsidR="00317AF5" w:rsidRPr="007419CF">
        <w:rPr>
          <w:rFonts w:ascii="Helvetica" w:hAnsi="Helvetica" w:cs="Helvetica"/>
          <w:color w:val="1C1E29"/>
          <w:sz w:val="22"/>
          <w:szCs w:val="22"/>
        </w:rPr>
        <w:t>amount</w:t>
      </w:r>
      <w:proofErr w:type="gramEnd"/>
      <w:r w:rsidR="00317AF5" w:rsidRPr="007419CF">
        <w:rPr>
          <w:rFonts w:ascii="Helvetica" w:hAnsi="Helvetica" w:cs="Helvetica"/>
          <w:color w:val="1C1E29"/>
          <w:sz w:val="22"/>
          <w:szCs w:val="22"/>
        </w:rPr>
        <w:t xml:space="preserve"> of fines. In separate cases, t</w:t>
      </w:r>
      <w:r w:rsidR="007419CF">
        <w:rPr>
          <w:rFonts w:ascii="Helvetica" w:hAnsi="Helvetica" w:cs="Helvetica"/>
          <w:color w:val="1C1E29"/>
          <w:sz w:val="22"/>
          <w:szCs w:val="22"/>
        </w:rPr>
        <w:t>he victims of abduction remained</w:t>
      </w:r>
      <w:r w:rsidR="00317AF5" w:rsidRPr="007419CF">
        <w:rPr>
          <w:rFonts w:ascii="Helvetica" w:hAnsi="Helvetica" w:cs="Helvetica"/>
          <w:color w:val="1C1E29"/>
          <w:sz w:val="22"/>
          <w:szCs w:val="22"/>
        </w:rPr>
        <w:t xml:space="preserve"> in captivity for years as they were convicted for illegal border crossing under criminal procedure without due access to procedural guarantees and right to fair trial. </w:t>
      </w:r>
      <w:r w:rsidRPr="004C739A">
        <w:rPr>
          <w:rFonts w:ascii="Helvetica" w:hAnsi="Helvetica" w:cs="Helvetica"/>
          <w:color w:val="1C1E29"/>
          <w:sz w:val="22"/>
          <w:szCs w:val="22"/>
        </w:rPr>
        <w:t xml:space="preserve">During </w:t>
      </w:r>
      <w:r w:rsidR="004C739A" w:rsidRPr="004C739A">
        <w:rPr>
          <w:rFonts w:ascii="Helvetica" w:hAnsi="Helvetica" w:cs="Helvetica"/>
          <w:color w:val="1C1E29"/>
          <w:sz w:val="22"/>
          <w:szCs w:val="22"/>
        </w:rPr>
        <w:t xml:space="preserve">arbitrary detentions </w:t>
      </w:r>
      <w:r w:rsidRPr="004C739A">
        <w:rPr>
          <w:rFonts w:ascii="Helvetica" w:hAnsi="Helvetica" w:cs="Helvetica"/>
          <w:color w:val="1C1E29"/>
          <w:sz w:val="22"/>
          <w:szCs w:val="22"/>
        </w:rPr>
        <w:t>number of</w:t>
      </w:r>
      <w:r w:rsidR="004C739A" w:rsidRPr="004C739A">
        <w:rPr>
          <w:rFonts w:ascii="Helvetica" w:hAnsi="Helvetica" w:cs="Helvetica"/>
          <w:color w:val="1C1E29"/>
          <w:sz w:val="22"/>
          <w:szCs w:val="22"/>
        </w:rPr>
        <w:t xml:space="preserve"> cases of</w:t>
      </w:r>
      <w:r w:rsidRPr="004C739A">
        <w:rPr>
          <w:rFonts w:ascii="Helvetica" w:hAnsi="Helvetica" w:cs="Helvetica"/>
          <w:color w:val="1C1E29"/>
          <w:sz w:val="22"/>
          <w:szCs w:val="22"/>
        </w:rPr>
        <w:t xml:space="preserve"> inhuman and degrading trea</w:t>
      </w:r>
      <w:r w:rsidR="007A19D3">
        <w:rPr>
          <w:rFonts w:ascii="Helvetica" w:hAnsi="Helvetica" w:cs="Helvetica"/>
          <w:color w:val="1C1E29"/>
          <w:sz w:val="22"/>
          <w:szCs w:val="22"/>
        </w:rPr>
        <w:t>tment were reported, as well as</w:t>
      </w:r>
      <w:r w:rsidR="007A19D3" w:rsidRPr="007419CF">
        <w:rPr>
          <w:rFonts w:ascii="Helvetica" w:hAnsi="Helvetica" w:cs="Helvetica"/>
          <w:color w:val="1C1E29"/>
          <w:sz w:val="22"/>
          <w:szCs w:val="22"/>
        </w:rPr>
        <w:t xml:space="preserve"> the death of Davit </w:t>
      </w:r>
      <w:proofErr w:type="spellStart"/>
      <w:r w:rsidR="007A19D3" w:rsidRPr="007419CF">
        <w:rPr>
          <w:rFonts w:ascii="Helvetica" w:hAnsi="Helvetica" w:cs="Helvetica"/>
          <w:color w:val="1C1E29"/>
          <w:sz w:val="22"/>
          <w:szCs w:val="22"/>
        </w:rPr>
        <w:t>Basharuli</w:t>
      </w:r>
      <w:proofErr w:type="spellEnd"/>
      <w:r w:rsidR="00317AF5" w:rsidRPr="007419CF">
        <w:rPr>
          <w:rFonts w:ascii="Helvetica" w:hAnsi="Helvetica" w:cs="Helvetica"/>
          <w:color w:val="1C1E29"/>
          <w:sz w:val="22"/>
          <w:szCs w:val="22"/>
        </w:rPr>
        <w:t xml:space="preserve"> in 2014 in occupied Akhalgori</w:t>
      </w:r>
      <w:r w:rsidR="007A19D3" w:rsidRPr="007419CF">
        <w:rPr>
          <w:rFonts w:ascii="Helvetica" w:hAnsi="Helvetica" w:cs="Helvetica"/>
          <w:color w:val="1C1E29"/>
          <w:sz w:val="22"/>
          <w:szCs w:val="22"/>
        </w:rPr>
        <w:t xml:space="preserve">, </w:t>
      </w:r>
      <w:r w:rsidRPr="004C739A">
        <w:rPr>
          <w:rFonts w:ascii="Helvetica" w:hAnsi="Helvetica" w:cs="Helvetica"/>
          <w:color w:val="1C1E29"/>
          <w:sz w:val="22"/>
          <w:szCs w:val="22"/>
        </w:rPr>
        <w:t>killings of Giga Otkhozoria in 2016 on the crossing point in occupied Abkhazia,</w:t>
      </w:r>
      <w:hyperlink w:anchor="_ftn3" w:tgtFrame="_blank" w:history="1">
        <w:r w:rsidRPr="004C739A">
          <w:rPr>
            <w:rStyle w:val="Hyperlink"/>
            <w:rFonts w:ascii="Helvetica" w:hAnsi="Helvetica" w:cs="Helvetica"/>
            <w:color w:val="4A6EE0"/>
            <w:sz w:val="22"/>
            <w:szCs w:val="22"/>
          </w:rPr>
          <w:t>[3]</w:t>
        </w:r>
      </w:hyperlink>
      <w:r w:rsidRPr="004C739A">
        <w:rPr>
          <w:rFonts w:ascii="Helvetica" w:hAnsi="Helvetica" w:cs="Helvetica"/>
          <w:color w:val="1C1E29"/>
          <w:sz w:val="22"/>
          <w:szCs w:val="22"/>
        </w:rPr>
        <w:t xml:space="preserve"> inhuman treatment, torture and killing of </w:t>
      </w:r>
      <w:proofErr w:type="spellStart"/>
      <w:r w:rsidRPr="004C739A">
        <w:rPr>
          <w:rFonts w:ascii="Helvetica" w:hAnsi="Helvetica" w:cs="Helvetica"/>
          <w:color w:val="1C1E29"/>
          <w:sz w:val="22"/>
          <w:szCs w:val="22"/>
        </w:rPr>
        <w:t>Archil</w:t>
      </w:r>
      <w:proofErr w:type="spellEnd"/>
      <w:r w:rsidRPr="004C739A">
        <w:rPr>
          <w:rFonts w:ascii="Helvetica" w:hAnsi="Helvetica" w:cs="Helvetica"/>
          <w:color w:val="1C1E29"/>
          <w:sz w:val="22"/>
          <w:szCs w:val="22"/>
        </w:rPr>
        <w:t xml:space="preserve"> </w:t>
      </w:r>
      <w:proofErr w:type="spellStart"/>
      <w:r w:rsidRPr="004C739A">
        <w:rPr>
          <w:rFonts w:ascii="Helvetica" w:hAnsi="Helvetica" w:cs="Helvetica"/>
          <w:color w:val="1C1E29"/>
          <w:sz w:val="22"/>
          <w:szCs w:val="22"/>
        </w:rPr>
        <w:t>Tatunashvili</w:t>
      </w:r>
      <w:proofErr w:type="spellEnd"/>
      <w:r w:rsidRPr="004C739A">
        <w:rPr>
          <w:rFonts w:ascii="Helvetica" w:hAnsi="Helvetica" w:cs="Helvetica"/>
          <w:color w:val="1C1E29"/>
          <w:sz w:val="22"/>
          <w:szCs w:val="22"/>
        </w:rPr>
        <w:t xml:space="preserve"> in 2018 in occupied Tskhinvali, killing of detained Irakli </w:t>
      </w:r>
      <w:proofErr w:type="spellStart"/>
      <w:r w:rsidRPr="004C739A">
        <w:rPr>
          <w:rFonts w:ascii="Helvetica" w:hAnsi="Helvetica" w:cs="Helvetica"/>
          <w:color w:val="1C1E29"/>
          <w:sz w:val="22"/>
          <w:szCs w:val="22"/>
        </w:rPr>
        <w:t>Kvaratskhelia</w:t>
      </w:r>
      <w:proofErr w:type="spellEnd"/>
      <w:r w:rsidRPr="004C739A">
        <w:rPr>
          <w:rFonts w:ascii="Helvetica" w:hAnsi="Helvetica" w:cs="Helvetica"/>
          <w:color w:val="1C1E29"/>
          <w:sz w:val="22"/>
          <w:szCs w:val="22"/>
        </w:rPr>
        <w:t xml:space="preserve"> in uncertain circumstances in 2019 in occupied </w:t>
      </w:r>
      <w:proofErr w:type="spellStart"/>
      <w:r w:rsidRPr="004C739A">
        <w:rPr>
          <w:rFonts w:ascii="Helvetica" w:hAnsi="Helvetica" w:cs="Helvetica"/>
          <w:color w:val="1C1E29"/>
          <w:sz w:val="22"/>
          <w:szCs w:val="22"/>
        </w:rPr>
        <w:t>Gali</w:t>
      </w:r>
      <w:proofErr w:type="spellEnd"/>
      <w:r w:rsidRPr="004C739A">
        <w:rPr>
          <w:rFonts w:ascii="Helvetica" w:hAnsi="Helvetica" w:cs="Helvetica"/>
          <w:color w:val="1C1E29"/>
          <w:sz w:val="22"/>
          <w:szCs w:val="22"/>
        </w:rPr>
        <w:t>.</w:t>
      </w:r>
      <w:r w:rsidR="00F92590">
        <w:rPr>
          <w:rFonts w:ascii="Helvetica" w:hAnsi="Helvetica" w:cs="Helvetica"/>
          <w:color w:val="1C1E29"/>
          <w:sz w:val="22"/>
          <w:szCs w:val="22"/>
        </w:rPr>
        <w:t xml:space="preserve"> Local activist Tamar </w:t>
      </w:r>
      <w:proofErr w:type="spellStart"/>
      <w:r w:rsidR="00F92590">
        <w:rPr>
          <w:rFonts w:ascii="Helvetica" w:hAnsi="Helvetica" w:cs="Helvetica"/>
          <w:color w:val="1C1E29"/>
          <w:sz w:val="22"/>
          <w:szCs w:val="22"/>
        </w:rPr>
        <w:t>Mearakishvili</w:t>
      </w:r>
      <w:proofErr w:type="spellEnd"/>
      <w:r w:rsidR="00F92590">
        <w:rPr>
          <w:rFonts w:ascii="Helvetica" w:hAnsi="Helvetica" w:cs="Helvetica"/>
          <w:color w:val="1C1E29"/>
          <w:sz w:val="22"/>
          <w:szCs w:val="22"/>
        </w:rPr>
        <w:t xml:space="preserve"> is also victim of isolation and deprivation of freedom of movement due to the pending criminal proceedings against her, which is ongoing for three years without any legal and legitimate ground.</w:t>
      </w:r>
    </w:p>
    <w:p w14:paraId="558975E8"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157D3693" w14:textId="132EB81A"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r w:rsidRPr="004C739A">
        <w:rPr>
          <w:rFonts w:ascii="Helvetica" w:hAnsi="Helvetica" w:cs="Helvetica"/>
          <w:color w:val="1C1E29"/>
          <w:sz w:val="22"/>
          <w:szCs w:val="22"/>
        </w:rPr>
        <w:t>Th</w:t>
      </w:r>
      <w:r w:rsidR="004C739A">
        <w:rPr>
          <w:rFonts w:ascii="Helvetica" w:hAnsi="Helvetica" w:cs="Helvetica"/>
          <w:color w:val="1C1E29"/>
          <w:sz w:val="22"/>
          <w:szCs w:val="22"/>
        </w:rPr>
        <w:t xml:space="preserve">is </w:t>
      </w:r>
      <w:r w:rsidRPr="004C739A">
        <w:rPr>
          <w:rFonts w:ascii="Helvetica" w:hAnsi="Helvetica" w:cs="Helvetica"/>
          <w:color w:val="1C1E29"/>
          <w:sz w:val="22"/>
          <w:szCs w:val="22"/>
        </w:rPr>
        <w:t>statement does not aim to draw a comprehensive picture of the difficult human rights situation in occupied territories of Georgia, but we would like to highlight your attention and ask you for active emergency measures in response to recent developments in South Ossetia, Georgia. Since September 4, 2019, </w:t>
      </w:r>
      <w:r w:rsidRPr="004C739A">
        <w:rPr>
          <w:rStyle w:val="Emphasis"/>
          <w:rFonts w:ascii="Helvetica" w:hAnsi="Helvetica" w:cs="Helvetica"/>
          <w:color w:val="1C1E29"/>
          <w:sz w:val="22"/>
          <w:szCs w:val="22"/>
        </w:rPr>
        <w:t>de-facto</w:t>
      </w:r>
      <w:r w:rsidRPr="004C739A">
        <w:rPr>
          <w:rFonts w:ascii="Helvetica" w:hAnsi="Helvetica" w:cs="Helvetica"/>
          <w:color w:val="1C1E29"/>
          <w:sz w:val="22"/>
          <w:szCs w:val="22"/>
        </w:rPr>
        <w:t xml:space="preserve"> authorities of South Ossetia arbitrarily closed the checkpoint of </w:t>
      </w:r>
      <w:proofErr w:type="spellStart"/>
      <w:r w:rsidRPr="004C739A">
        <w:rPr>
          <w:rFonts w:ascii="Helvetica" w:hAnsi="Helvetica" w:cs="Helvetica"/>
          <w:color w:val="1C1E29"/>
          <w:sz w:val="22"/>
          <w:szCs w:val="22"/>
        </w:rPr>
        <w:t>Mosabruni</w:t>
      </w:r>
      <w:proofErr w:type="spellEnd"/>
      <w:r w:rsidRPr="004C739A">
        <w:rPr>
          <w:rFonts w:ascii="Helvetica" w:hAnsi="Helvetica" w:cs="Helvetica"/>
          <w:color w:val="1C1E29"/>
          <w:sz w:val="22"/>
          <w:szCs w:val="22"/>
        </w:rPr>
        <w:t xml:space="preserve"> (so-called </w:t>
      </w:r>
      <w:proofErr w:type="spellStart"/>
      <w:r w:rsidRPr="004C739A">
        <w:rPr>
          <w:rFonts w:ascii="Helvetica" w:hAnsi="Helvetica" w:cs="Helvetica"/>
          <w:color w:val="1C1E29"/>
          <w:sz w:val="22"/>
          <w:szCs w:val="22"/>
        </w:rPr>
        <w:t>Razdakhani</w:t>
      </w:r>
      <w:proofErr w:type="spellEnd"/>
      <w:r w:rsidRPr="004C739A">
        <w:rPr>
          <w:rFonts w:ascii="Helvetica" w:hAnsi="Helvetica" w:cs="Helvetica"/>
          <w:color w:val="1C1E29"/>
          <w:sz w:val="22"/>
          <w:szCs w:val="22"/>
        </w:rPr>
        <w:t>)</w:t>
      </w:r>
      <w:r w:rsidR="00317AF5">
        <w:rPr>
          <w:rFonts w:ascii="Helvetica" w:hAnsi="Helvetica" w:cs="Helvetica"/>
          <w:color w:val="1C1E29"/>
          <w:sz w:val="22"/>
          <w:szCs w:val="22"/>
        </w:rPr>
        <w:t xml:space="preserve"> </w:t>
      </w:r>
      <w:r w:rsidRPr="004C739A">
        <w:rPr>
          <w:rFonts w:ascii="Helvetica" w:hAnsi="Helvetica" w:cs="Helvetica"/>
          <w:color w:val="1C1E29"/>
          <w:sz w:val="22"/>
          <w:szCs w:val="22"/>
        </w:rPr>
        <w:t xml:space="preserve">- the only crossing point left to connect villages of Tskhinvali region to the rest of Georgia. The local authorities planned to open it in 2 days, however, the opening of a police guard post in the village of </w:t>
      </w:r>
      <w:proofErr w:type="spellStart"/>
      <w:r w:rsidRPr="004C739A">
        <w:rPr>
          <w:rFonts w:ascii="Helvetica" w:hAnsi="Helvetica" w:cs="Helvetica"/>
          <w:color w:val="1C1E29"/>
          <w:sz w:val="22"/>
          <w:szCs w:val="22"/>
        </w:rPr>
        <w:t>Chorchana</w:t>
      </w:r>
      <w:proofErr w:type="spellEnd"/>
      <w:r w:rsidRPr="004C739A">
        <w:rPr>
          <w:rFonts w:ascii="Helvetica" w:hAnsi="Helvetica" w:cs="Helvetica"/>
          <w:color w:val="1C1E29"/>
          <w:sz w:val="22"/>
          <w:szCs w:val="22"/>
        </w:rPr>
        <w:t xml:space="preserve"> and related </w:t>
      </w:r>
      <w:r w:rsidR="0076718B">
        <w:rPr>
          <w:rFonts w:ascii="Helvetica" w:hAnsi="Helvetica" w:cs="Helvetica"/>
          <w:color w:val="1C1E29"/>
          <w:sz w:val="22"/>
          <w:szCs w:val="22"/>
        </w:rPr>
        <w:t xml:space="preserve">political </w:t>
      </w:r>
      <w:r w:rsidRPr="004C739A">
        <w:rPr>
          <w:rFonts w:ascii="Helvetica" w:hAnsi="Helvetica" w:cs="Helvetica"/>
          <w:color w:val="1C1E29"/>
          <w:sz w:val="22"/>
          <w:szCs w:val="22"/>
        </w:rPr>
        <w:t>processes, became another pretext for Tskhinvali </w:t>
      </w:r>
      <w:r w:rsidRPr="004C739A">
        <w:rPr>
          <w:rStyle w:val="Emphasis"/>
          <w:rFonts w:ascii="Helvetica" w:hAnsi="Helvetica" w:cs="Helvetica"/>
          <w:color w:val="1C1E29"/>
          <w:sz w:val="22"/>
          <w:szCs w:val="22"/>
        </w:rPr>
        <w:t>de-facto</w:t>
      </w:r>
      <w:r w:rsidRPr="004C739A">
        <w:rPr>
          <w:rFonts w:ascii="Helvetica" w:hAnsi="Helvetica" w:cs="Helvetica"/>
          <w:color w:val="1C1E29"/>
          <w:sz w:val="22"/>
          <w:szCs w:val="22"/>
        </w:rPr>
        <w:t> government not to re-open the crossing point and place the population under complete isolation and humanitarian crisis.</w:t>
      </w:r>
      <w:r w:rsidR="0076718B">
        <w:rPr>
          <w:rFonts w:ascii="Helvetica" w:hAnsi="Helvetica" w:cs="Helvetica"/>
          <w:color w:val="1C1E29"/>
          <w:sz w:val="22"/>
          <w:szCs w:val="22"/>
        </w:rPr>
        <w:t xml:space="preserve"> The crisis particularly affects the villages populated with ethnic Georgians. </w:t>
      </w:r>
    </w:p>
    <w:p w14:paraId="7FA37173"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52D331A2" w14:textId="07437926" w:rsidR="00304E53" w:rsidRPr="007419CF" w:rsidRDefault="00D03975" w:rsidP="00304E53">
      <w:pPr>
        <w:pStyle w:val="NormalWeb"/>
        <w:spacing w:before="0" w:beforeAutospacing="0" w:after="0" w:afterAutospacing="0"/>
        <w:jc w:val="both"/>
        <w:rPr>
          <w:rFonts w:ascii="Sylfaen" w:hAnsi="Sylfaen" w:cs="Helvetica"/>
          <w:color w:val="1C1E29"/>
          <w:sz w:val="22"/>
          <w:szCs w:val="22"/>
        </w:rPr>
      </w:pPr>
      <w:r w:rsidRPr="004C739A">
        <w:rPr>
          <w:rFonts w:ascii="Helvetica" w:hAnsi="Helvetica" w:cs="Helvetica"/>
          <w:color w:val="1C1E29"/>
          <w:sz w:val="22"/>
          <w:szCs w:val="22"/>
        </w:rPr>
        <w:t xml:space="preserve">The tragic death of Margo Martiashvili, local from the village </w:t>
      </w:r>
      <w:proofErr w:type="spellStart"/>
      <w:r w:rsidRPr="004C739A">
        <w:rPr>
          <w:rFonts w:ascii="Helvetica" w:hAnsi="Helvetica" w:cs="Helvetica"/>
          <w:color w:val="1C1E29"/>
          <w:sz w:val="22"/>
          <w:szCs w:val="22"/>
        </w:rPr>
        <w:t>Ikoti</w:t>
      </w:r>
      <w:proofErr w:type="spellEnd"/>
      <w:r w:rsidRPr="004C739A">
        <w:rPr>
          <w:rFonts w:ascii="Helvetica" w:hAnsi="Helvetica" w:cs="Helvetica"/>
          <w:color w:val="1C1E29"/>
          <w:sz w:val="22"/>
          <w:szCs w:val="22"/>
        </w:rPr>
        <w:t xml:space="preserve"> in Akhalgori region appeared as an alarm sign which indicates the harsh humanitarian and social conditions, in which persons across occupation line live throughout the last </w:t>
      </w:r>
      <w:r w:rsidR="00EC06C1">
        <w:rPr>
          <w:rFonts w:ascii="Helvetica" w:hAnsi="Helvetica" w:cs="Helvetica"/>
          <w:color w:val="1C1E29"/>
          <w:sz w:val="22"/>
          <w:szCs w:val="22"/>
        </w:rPr>
        <w:t>3</w:t>
      </w:r>
      <w:r w:rsidRPr="004C739A">
        <w:rPr>
          <w:rFonts w:ascii="Helvetica" w:hAnsi="Helvetica" w:cs="Helvetica"/>
          <w:color w:val="1C1E29"/>
          <w:sz w:val="22"/>
          <w:szCs w:val="22"/>
        </w:rPr>
        <w:t xml:space="preserve"> months. Martiashvili passed away with an assumed diagnosis of a stroke on 28 October. Due to restrictions imposed by Tskhinvali </w:t>
      </w:r>
      <w:r w:rsidRPr="004C739A">
        <w:rPr>
          <w:rStyle w:val="Emphasis"/>
          <w:rFonts w:ascii="Helvetica" w:hAnsi="Helvetica" w:cs="Helvetica"/>
          <w:color w:val="1C1E29"/>
          <w:sz w:val="22"/>
          <w:szCs w:val="22"/>
        </w:rPr>
        <w:t>de-facto</w:t>
      </w:r>
      <w:r w:rsidRPr="004C739A">
        <w:rPr>
          <w:rFonts w:ascii="Helvetica" w:hAnsi="Helvetica" w:cs="Helvetica"/>
          <w:color w:val="1C1E29"/>
          <w:sz w:val="22"/>
          <w:szCs w:val="22"/>
        </w:rPr>
        <w:t xml:space="preserve"> government, the patient could not have been brought to the territory controlled by Georgia, therefore she was </w:t>
      </w:r>
      <w:r w:rsidR="00E34290">
        <w:rPr>
          <w:rFonts w:ascii="Helvetica" w:hAnsi="Helvetica" w:cs="Helvetica"/>
          <w:color w:val="1C1E29"/>
          <w:sz w:val="22"/>
          <w:szCs w:val="22"/>
        </w:rPr>
        <w:t xml:space="preserve">not </w:t>
      </w:r>
      <w:r w:rsidRPr="004C739A">
        <w:rPr>
          <w:rFonts w:ascii="Helvetica" w:hAnsi="Helvetica" w:cs="Helvetica"/>
          <w:color w:val="1C1E29"/>
          <w:sz w:val="22"/>
          <w:szCs w:val="22"/>
        </w:rPr>
        <w:t>provided with urgent and qualified medical care timely. It is noteworthy that the medical centers in Tskhinvali are not equipped with appropriate infrastructure and qualified personnel, thus they cannot provide appropriate medical service to the local population and in fact, the majority of Akhalgori residents received treatment in hospitals across the ABL before the crossing point was arbitrarily closed.</w:t>
      </w:r>
      <w:r w:rsidR="007419CF">
        <w:rPr>
          <w:rFonts w:ascii="Helvetica" w:hAnsi="Helvetica" w:cs="Helvetica"/>
          <w:color w:val="1C1E29"/>
          <w:sz w:val="22"/>
          <w:szCs w:val="22"/>
        </w:rPr>
        <w:t xml:space="preserve"> </w:t>
      </w:r>
      <w:r w:rsidR="007419CF" w:rsidRPr="00304E53">
        <w:rPr>
          <w:rFonts w:ascii="Helvetica" w:hAnsi="Helvetica" w:cs="Helvetica"/>
          <w:color w:val="1C1E29"/>
          <w:sz w:val="22"/>
          <w:szCs w:val="22"/>
        </w:rPr>
        <w:t xml:space="preserve">The media further reported the death of 49-year-old Georgian citizen in November 2019 </w:t>
      </w:r>
      <w:r w:rsidR="00304E53">
        <w:rPr>
          <w:rFonts w:ascii="Helvetica" w:hAnsi="Helvetica" w:cs="Helvetica"/>
          <w:color w:val="1C1E29"/>
          <w:sz w:val="22"/>
          <w:szCs w:val="22"/>
        </w:rPr>
        <w:t xml:space="preserve">as he was not provided with </w:t>
      </w:r>
      <w:r w:rsidR="007419CF" w:rsidRPr="00304E53">
        <w:rPr>
          <w:rFonts w:ascii="Helvetica" w:hAnsi="Helvetica" w:cs="Helvetica"/>
          <w:color w:val="1C1E29"/>
          <w:sz w:val="22"/>
          <w:szCs w:val="22"/>
        </w:rPr>
        <w:t xml:space="preserve">adequate medical assistance in Akhalgori hospital and </w:t>
      </w:r>
      <w:r w:rsidR="00304E53">
        <w:rPr>
          <w:rFonts w:ascii="Helvetica" w:hAnsi="Helvetica" w:cs="Helvetica"/>
          <w:color w:val="1C1E29"/>
          <w:sz w:val="22"/>
          <w:szCs w:val="22"/>
        </w:rPr>
        <w:t xml:space="preserve">his relatives were unable to transfer him to the </w:t>
      </w:r>
      <w:r w:rsidR="00304E53" w:rsidRPr="00304E53">
        <w:rPr>
          <w:rFonts w:ascii="Helvetica" w:hAnsi="Helvetica" w:cs="Helvetica"/>
          <w:color w:val="1C1E29"/>
          <w:sz w:val="22"/>
          <w:szCs w:val="22"/>
        </w:rPr>
        <w:t>Georgian controlled territory</w:t>
      </w:r>
      <w:r w:rsidR="00304E53">
        <w:rPr>
          <w:rFonts w:ascii="Helvetica" w:hAnsi="Helvetica" w:cs="Helvetica"/>
          <w:color w:val="1C1E29"/>
          <w:sz w:val="22"/>
          <w:szCs w:val="22"/>
        </w:rPr>
        <w:t xml:space="preserve"> </w:t>
      </w:r>
      <w:r w:rsidR="004308F2">
        <w:rPr>
          <w:rFonts w:ascii="Helvetica" w:hAnsi="Helvetica" w:cs="Helvetica"/>
          <w:color w:val="1C1E29"/>
          <w:sz w:val="22"/>
          <w:szCs w:val="22"/>
        </w:rPr>
        <w:t>due to</w:t>
      </w:r>
      <w:r w:rsidR="00304E53">
        <w:rPr>
          <w:rFonts w:ascii="Helvetica" w:hAnsi="Helvetica" w:cs="Helvetica"/>
          <w:color w:val="1C1E29"/>
          <w:sz w:val="22"/>
          <w:szCs w:val="22"/>
        </w:rPr>
        <w:t xml:space="preserve"> </w:t>
      </w:r>
      <w:r w:rsidR="00304E53">
        <w:rPr>
          <w:rFonts w:ascii="Arial" w:hAnsi="Arial" w:cs="Arial"/>
          <w:color w:val="000000"/>
          <w:sz w:val="21"/>
          <w:szCs w:val="21"/>
          <w:shd w:val="clear" w:color="auto" w:fill="FFFFFF"/>
        </w:rPr>
        <w:t>the closure of the so-called border. </w:t>
      </w:r>
    </w:p>
    <w:p w14:paraId="24CA1ED3"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790D423E" w14:textId="3AD08FE6"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r w:rsidRPr="004C739A">
        <w:rPr>
          <w:rFonts w:ascii="Helvetica" w:hAnsi="Helvetica" w:cs="Helvetica"/>
          <w:color w:val="1C1E29"/>
          <w:sz w:val="22"/>
          <w:szCs w:val="22"/>
        </w:rPr>
        <w:t xml:space="preserve">The tragic </w:t>
      </w:r>
      <w:r w:rsidR="00E34290">
        <w:rPr>
          <w:rFonts w:ascii="Helvetica" w:hAnsi="Helvetica" w:cs="Helvetica"/>
          <w:color w:val="1C1E29"/>
          <w:sz w:val="22"/>
          <w:szCs w:val="22"/>
        </w:rPr>
        <w:t>case</w:t>
      </w:r>
      <w:r w:rsidRPr="004C739A">
        <w:rPr>
          <w:rFonts w:ascii="Helvetica" w:hAnsi="Helvetica" w:cs="Helvetica"/>
          <w:color w:val="1C1E29"/>
          <w:sz w:val="22"/>
          <w:szCs w:val="22"/>
        </w:rPr>
        <w:t xml:space="preserve"> of Margo Martiashvili was followed by another emergency need of qualified medical assistance for a woman, resident of Akhalgori who fell in</w:t>
      </w:r>
      <w:r w:rsidR="007E0144">
        <w:rPr>
          <w:rFonts w:ascii="Helvetica" w:hAnsi="Helvetica" w:cs="Helvetica"/>
          <w:color w:val="1C1E29"/>
          <w:sz w:val="22"/>
          <w:szCs w:val="22"/>
        </w:rPr>
        <w:t xml:space="preserve"> the</w:t>
      </w:r>
      <w:r w:rsidRPr="004C739A">
        <w:rPr>
          <w:rFonts w:ascii="Helvetica" w:hAnsi="Helvetica" w:cs="Helvetica"/>
          <w:color w:val="1C1E29"/>
          <w:sz w:val="22"/>
          <w:szCs w:val="22"/>
        </w:rPr>
        <w:t xml:space="preserve"> </w:t>
      </w:r>
      <w:r w:rsidR="006F4DE5">
        <w:rPr>
          <w:rFonts w:ascii="Helvetica" w:hAnsi="Helvetica" w:cs="Helvetica"/>
          <w:color w:val="1C1E29"/>
          <w:sz w:val="22"/>
          <w:szCs w:val="22"/>
        </w:rPr>
        <w:t>water-</w:t>
      </w:r>
      <w:r w:rsidRPr="004C739A">
        <w:rPr>
          <w:rFonts w:ascii="Helvetica" w:hAnsi="Helvetica" w:cs="Helvetica"/>
          <w:color w:val="1C1E29"/>
          <w:sz w:val="22"/>
          <w:szCs w:val="22"/>
        </w:rPr>
        <w:t xml:space="preserve">well and her health condition is still hard. The family requested to let them take the patient in Tbilisi hospital, however de-facto authorities continue to use such cases as leverage over the central government and force them to withdraw </w:t>
      </w:r>
      <w:r w:rsidR="00E34290">
        <w:rPr>
          <w:rFonts w:ascii="Helvetica" w:hAnsi="Helvetica" w:cs="Helvetica"/>
          <w:color w:val="1C1E29"/>
          <w:sz w:val="22"/>
          <w:szCs w:val="22"/>
        </w:rPr>
        <w:t xml:space="preserve">the </w:t>
      </w:r>
      <w:r w:rsidRPr="004C739A">
        <w:rPr>
          <w:rFonts w:ascii="Helvetica" w:hAnsi="Helvetica" w:cs="Helvetica"/>
          <w:color w:val="1C1E29"/>
          <w:sz w:val="22"/>
          <w:szCs w:val="22"/>
        </w:rPr>
        <w:t>police unit. </w:t>
      </w:r>
    </w:p>
    <w:p w14:paraId="0CB32A34"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5066D319" w14:textId="174EF25C"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r w:rsidRPr="004C739A">
        <w:rPr>
          <w:rFonts w:ascii="Helvetica" w:hAnsi="Helvetica" w:cs="Helvetica"/>
          <w:color w:val="1C1E29"/>
          <w:sz w:val="22"/>
          <w:szCs w:val="22"/>
        </w:rPr>
        <w:t xml:space="preserve">The difficulty of the situation reached its peak when a famous doctor-traumatologist Vaja Gaprindashvili was detained by the South Ossetian authorities for illegal “border-crossing” and criminal proceedings </w:t>
      </w:r>
      <w:r w:rsidR="00E34290">
        <w:rPr>
          <w:rFonts w:ascii="Helvetica" w:hAnsi="Helvetica" w:cs="Helvetica"/>
          <w:color w:val="1C1E29"/>
          <w:sz w:val="22"/>
          <w:szCs w:val="22"/>
        </w:rPr>
        <w:t>were</w:t>
      </w:r>
      <w:r w:rsidRPr="004C739A">
        <w:rPr>
          <w:rFonts w:ascii="Helvetica" w:hAnsi="Helvetica" w:cs="Helvetica"/>
          <w:color w:val="1C1E29"/>
          <w:sz w:val="22"/>
          <w:szCs w:val="22"/>
        </w:rPr>
        <w:t xml:space="preserve"> commenced against him. Usually, de-facto authorities impose an administrative fine for “illegal border-crossing” but in this case, they commenced criminal proceedings on the 9th of November for so-called “well-planned and organized illegal border-crossing”. Dr. Gaprindashvili did not confess the illegality of his action as he considered this territory as Georgia, where he could pass without any obstacles. Gaprindashvili was sentenced with a 2-month pre-trial detention and he is waiting for </w:t>
      </w:r>
      <w:r w:rsidR="00FD67CF">
        <w:rPr>
          <w:rFonts w:ascii="Helvetica" w:hAnsi="Helvetica" w:cs="Helvetica"/>
          <w:color w:val="1C1E29"/>
          <w:sz w:val="22"/>
          <w:szCs w:val="22"/>
        </w:rPr>
        <w:t>“</w:t>
      </w:r>
      <w:r w:rsidRPr="004C739A">
        <w:rPr>
          <w:rFonts w:ascii="Helvetica" w:hAnsi="Helvetica" w:cs="Helvetica"/>
          <w:color w:val="1C1E29"/>
          <w:sz w:val="22"/>
          <w:szCs w:val="22"/>
        </w:rPr>
        <w:t>court</w:t>
      </w:r>
      <w:r w:rsidR="00FD67CF">
        <w:rPr>
          <w:rFonts w:ascii="Helvetica" w:hAnsi="Helvetica" w:cs="Helvetica"/>
          <w:color w:val="1C1E29"/>
          <w:sz w:val="22"/>
          <w:szCs w:val="22"/>
        </w:rPr>
        <w:t>”</w:t>
      </w:r>
      <w:r w:rsidRPr="004C739A">
        <w:rPr>
          <w:rFonts w:ascii="Helvetica" w:hAnsi="Helvetica" w:cs="Helvetica"/>
          <w:color w:val="1C1E29"/>
          <w:sz w:val="22"/>
          <w:szCs w:val="22"/>
        </w:rPr>
        <w:t xml:space="preserve"> hearings. </w:t>
      </w:r>
      <w:r w:rsidR="001B5B5A">
        <w:rPr>
          <w:rStyle w:val="Emphasis"/>
          <w:rFonts w:ascii="Helvetica" w:hAnsi="Helvetica" w:cs="Helvetica"/>
          <w:color w:val="1C1E29"/>
          <w:sz w:val="22"/>
          <w:szCs w:val="22"/>
        </w:rPr>
        <w:t>D</w:t>
      </w:r>
      <w:r w:rsidRPr="004C739A">
        <w:rPr>
          <w:rStyle w:val="Emphasis"/>
          <w:rFonts w:ascii="Helvetica" w:hAnsi="Helvetica" w:cs="Helvetica"/>
          <w:color w:val="1C1E29"/>
          <w:sz w:val="22"/>
          <w:szCs w:val="22"/>
        </w:rPr>
        <w:t>e-facto</w:t>
      </w:r>
      <w:r w:rsidRPr="004C739A">
        <w:rPr>
          <w:rFonts w:ascii="Helvetica" w:hAnsi="Helvetica" w:cs="Helvetica"/>
          <w:color w:val="1C1E29"/>
          <w:sz w:val="22"/>
          <w:szCs w:val="22"/>
        </w:rPr>
        <w:t> authorities spread information about his possible participation in the August 2008 war as a member of military medical personnel, which increases threats of more repressive measures towards their “political enemy”. The public statements of de-facto authorities improve such negative expectations.</w:t>
      </w:r>
    </w:p>
    <w:p w14:paraId="13BD477E"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5F6C6558" w14:textId="7A673E65"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r w:rsidRPr="004C739A">
        <w:rPr>
          <w:rFonts w:ascii="Helvetica" w:hAnsi="Helvetica" w:cs="Helvetica"/>
          <w:color w:val="1C1E29"/>
          <w:sz w:val="22"/>
          <w:szCs w:val="22"/>
        </w:rPr>
        <w:t xml:space="preserve">This is the second case of large-scale so-called border closure in 2019, a similar case can also be recalled from previous years. During January – March of 2019 the Ossetian de facto government restricted freedom of movement based on the pretext of preventing the spread of the H1N1 virus. The checkpoints </w:t>
      </w:r>
      <w:r w:rsidR="00FD67CF">
        <w:rPr>
          <w:rFonts w:ascii="Helvetica" w:hAnsi="Helvetica" w:cs="Helvetica"/>
          <w:color w:val="1C1E29"/>
          <w:sz w:val="22"/>
          <w:szCs w:val="22"/>
        </w:rPr>
        <w:t>are being</w:t>
      </w:r>
      <w:r w:rsidRPr="004C739A">
        <w:rPr>
          <w:rFonts w:ascii="Helvetica" w:hAnsi="Helvetica" w:cs="Helvetica"/>
          <w:color w:val="1C1E29"/>
          <w:sz w:val="22"/>
          <w:szCs w:val="22"/>
        </w:rPr>
        <w:t xml:space="preserve"> also closed for smaller periods on various grounds. Isolation of population across occupation line and restriction of freedom of movement seems to be used as political leverage by de facto regimes periodically to gain influence over central government or for political speculations. Such restrictions, in turn, </w:t>
      </w:r>
      <w:r w:rsidR="00FD67CF">
        <w:rPr>
          <w:rFonts w:ascii="Helvetica" w:hAnsi="Helvetica" w:cs="Helvetica"/>
          <w:color w:val="1C1E29"/>
          <w:sz w:val="22"/>
          <w:szCs w:val="22"/>
        </w:rPr>
        <w:t xml:space="preserve">creates </w:t>
      </w:r>
      <w:r w:rsidRPr="004C739A">
        <w:rPr>
          <w:rFonts w:ascii="Helvetica" w:hAnsi="Helvetica" w:cs="Helvetica"/>
          <w:color w:val="1C1E29"/>
          <w:sz w:val="22"/>
          <w:szCs w:val="22"/>
        </w:rPr>
        <w:t xml:space="preserve">heavy burdens first of all for the local population. The arbitrary closing of checkpoints causes the number of critical </w:t>
      </w:r>
      <w:r w:rsidRPr="004C739A">
        <w:rPr>
          <w:rFonts w:ascii="Helvetica" w:hAnsi="Helvetica" w:cs="Helvetica"/>
          <w:color w:val="1C1E29"/>
          <w:sz w:val="22"/>
          <w:szCs w:val="22"/>
        </w:rPr>
        <w:lastRenderedPageBreak/>
        <w:t>problems as we have witnessed, among others, restricts access to basic goods and services, such as medicine, food products, urgent medical care, social assistance services, including pensions, which in most cases is the only source of income and subsistence. Problems arise concerning access to education, too. Apart from that, the arbitrary restriction of freedom of movement disrupts family relationships and unions. The closure of crossing points and extreme restriction of movement hinders the peacebuilding and trust-building process among the communities and deepens the isolation. Therefore, the problem is beyond human rights violations and has a destructive impact on the whole peace process. </w:t>
      </w:r>
    </w:p>
    <w:p w14:paraId="5C78C020"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0AD0FAE7" w14:textId="77777777" w:rsidR="00F45701" w:rsidRDefault="00D03975" w:rsidP="00D03975">
      <w:pPr>
        <w:pStyle w:val="NormalWeb"/>
        <w:spacing w:before="0" w:beforeAutospacing="0" w:after="0" w:afterAutospacing="0"/>
        <w:jc w:val="both"/>
        <w:rPr>
          <w:rFonts w:ascii="Helvetica" w:hAnsi="Helvetica" w:cs="Helvetica"/>
          <w:color w:val="1C1E29"/>
          <w:sz w:val="22"/>
          <w:szCs w:val="22"/>
        </w:rPr>
      </w:pPr>
      <w:r w:rsidRPr="004C739A">
        <w:rPr>
          <w:rFonts w:ascii="Helvetica" w:hAnsi="Helvetica" w:cs="Helvetica"/>
          <w:color w:val="1C1E29"/>
          <w:sz w:val="22"/>
          <w:szCs w:val="22"/>
        </w:rPr>
        <w:t xml:space="preserve">In this situation, apart from the positive obligations imposed on the central government authorities, we consider the role of international authoritative actors as vital to return these negative processes into the </w:t>
      </w:r>
      <w:r w:rsidRPr="00F45701">
        <w:rPr>
          <w:rFonts w:ascii="Helvetica" w:hAnsi="Helvetica" w:cs="Helvetica"/>
          <w:i/>
          <w:iCs/>
          <w:color w:val="1C1E29"/>
          <w:sz w:val="22"/>
          <w:szCs w:val="22"/>
        </w:rPr>
        <w:t>status quo</w:t>
      </w:r>
      <w:r w:rsidRPr="004C739A">
        <w:rPr>
          <w:rFonts w:ascii="Helvetica" w:hAnsi="Helvetica" w:cs="Helvetica"/>
          <w:color w:val="1C1E29"/>
          <w:sz w:val="22"/>
          <w:szCs w:val="22"/>
        </w:rPr>
        <w:t xml:space="preserve"> and to take further measures for the improvement of human rights conditions in these territories. It is still vague why the government of Georgia does not use available legal means via ECHR to request the imposition of interim measure towards the Russian Federation, while the political and diplomatic means do not seem productive and effective. </w:t>
      </w:r>
    </w:p>
    <w:p w14:paraId="4F181E6E" w14:textId="77777777" w:rsidR="00F45701" w:rsidRDefault="00F45701" w:rsidP="00D03975">
      <w:pPr>
        <w:pStyle w:val="NormalWeb"/>
        <w:spacing w:before="0" w:beforeAutospacing="0" w:after="0" w:afterAutospacing="0"/>
        <w:jc w:val="both"/>
        <w:rPr>
          <w:rFonts w:ascii="Helvetica" w:hAnsi="Helvetica" w:cs="Helvetica"/>
          <w:color w:val="1C1E29"/>
          <w:sz w:val="22"/>
          <w:szCs w:val="22"/>
        </w:rPr>
      </w:pPr>
    </w:p>
    <w:p w14:paraId="1F6F7FB1" w14:textId="0E362AE4"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r w:rsidRPr="004C739A">
        <w:rPr>
          <w:rFonts w:ascii="Helvetica" w:hAnsi="Helvetica" w:cs="Helvetica"/>
          <w:color w:val="1C1E29"/>
          <w:sz w:val="22"/>
          <w:szCs w:val="22"/>
        </w:rPr>
        <w:t xml:space="preserve">Therefore, under your mandate to foster effective observance of human rights and assist member states in the implementation of </w:t>
      </w:r>
      <w:proofErr w:type="spellStart"/>
      <w:r w:rsidRPr="004C739A">
        <w:rPr>
          <w:rFonts w:ascii="Helvetica" w:hAnsi="Helvetica" w:cs="Helvetica"/>
          <w:color w:val="1C1E29"/>
          <w:sz w:val="22"/>
          <w:szCs w:val="22"/>
        </w:rPr>
        <w:t>CoE</w:t>
      </w:r>
      <w:proofErr w:type="spellEnd"/>
      <w:r w:rsidRPr="004C739A">
        <w:rPr>
          <w:rFonts w:ascii="Helvetica" w:hAnsi="Helvetica" w:cs="Helvetica"/>
          <w:color w:val="1C1E29"/>
          <w:sz w:val="22"/>
          <w:szCs w:val="22"/>
        </w:rPr>
        <w:t xml:space="preserve"> standards, also to contribute full enjoyment of human rights in the member states, we consider this is the most important situation which requires your attention and measures. </w:t>
      </w:r>
    </w:p>
    <w:p w14:paraId="13826AA4"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0D41D80B" w14:textId="47A8A866" w:rsidR="00D03975" w:rsidRPr="001B5B5A" w:rsidRDefault="00D03975" w:rsidP="00D03975">
      <w:pPr>
        <w:pStyle w:val="NormalWeb"/>
        <w:spacing w:before="0" w:beforeAutospacing="0" w:after="0" w:afterAutospacing="0"/>
        <w:jc w:val="both"/>
        <w:rPr>
          <w:rFonts w:ascii="Helvetica" w:hAnsi="Helvetica" w:cs="Helvetica"/>
          <w:b/>
          <w:bCs/>
          <w:color w:val="1C1E29"/>
          <w:sz w:val="22"/>
          <w:szCs w:val="22"/>
        </w:rPr>
      </w:pPr>
      <w:r w:rsidRPr="001B5B5A">
        <w:rPr>
          <w:rFonts w:ascii="Helvetica" w:hAnsi="Helvetica" w:cs="Helvetica"/>
          <w:b/>
          <w:bCs/>
          <w:color w:val="1C1E29"/>
          <w:sz w:val="22"/>
          <w:szCs w:val="22"/>
        </w:rPr>
        <w:t>Under your respective mandates, such measures could include:</w:t>
      </w:r>
    </w:p>
    <w:p w14:paraId="2C512B6B" w14:textId="77777777" w:rsidR="00323B2A" w:rsidRPr="004C739A" w:rsidRDefault="00323B2A" w:rsidP="00D03975">
      <w:pPr>
        <w:pStyle w:val="NormalWeb"/>
        <w:spacing w:before="0" w:beforeAutospacing="0" w:after="0" w:afterAutospacing="0"/>
        <w:jc w:val="both"/>
        <w:rPr>
          <w:rFonts w:ascii="Helvetica" w:hAnsi="Helvetica" w:cs="Helvetica"/>
          <w:color w:val="1C1E29"/>
          <w:sz w:val="22"/>
          <w:szCs w:val="22"/>
        </w:rPr>
      </w:pPr>
    </w:p>
    <w:p w14:paraId="3209D5E5" w14:textId="77777777" w:rsidR="00D03975" w:rsidRPr="004C739A" w:rsidRDefault="00D03975" w:rsidP="001B5B5A">
      <w:pPr>
        <w:numPr>
          <w:ilvl w:val="0"/>
          <w:numId w:val="5"/>
        </w:numPr>
        <w:ind w:right="-52"/>
        <w:jc w:val="both"/>
        <w:rPr>
          <w:rFonts w:ascii="Helvetica" w:hAnsi="Helvetica" w:cs="Helvetica"/>
          <w:color w:val="1C1E29"/>
          <w:sz w:val="22"/>
          <w:szCs w:val="22"/>
        </w:rPr>
      </w:pPr>
      <w:r w:rsidRPr="004C739A">
        <w:rPr>
          <w:rFonts w:ascii="Helvetica" w:hAnsi="Helvetica" w:cs="Helvetica"/>
          <w:color w:val="1C1E29"/>
          <w:sz w:val="22"/>
          <w:szCs w:val="22"/>
        </w:rPr>
        <w:t xml:space="preserve">Submission of a report to the Committee of Ministers or the </w:t>
      </w:r>
      <w:proofErr w:type="spellStart"/>
      <w:r w:rsidRPr="004C739A">
        <w:rPr>
          <w:rFonts w:ascii="Helvetica" w:hAnsi="Helvetica" w:cs="Helvetica"/>
          <w:color w:val="1C1E29"/>
          <w:sz w:val="22"/>
          <w:szCs w:val="22"/>
        </w:rPr>
        <w:t>CoE</w:t>
      </w:r>
      <w:proofErr w:type="spellEnd"/>
      <w:r w:rsidRPr="004C739A">
        <w:rPr>
          <w:rFonts w:ascii="Helvetica" w:hAnsi="Helvetica" w:cs="Helvetica"/>
          <w:color w:val="1C1E29"/>
          <w:sz w:val="22"/>
          <w:szCs w:val="22"/>
        </w:rPr>
        <w:t xml:space="preserve"> Parliamentary Assembly;</w:t>
      </w:r>
    </w:p>
    <w:p w14:paraId="3E5F7900" w14:textId="596639E1" w:rsidR="00D03975" w:rsidRPr="004C739A" w:rsidRDefault="00D03975" w:rsidP="00D03975">
      <w:pPr>
        <w:numPr>
          <w:ilvl w:val="0"/>
          <w:numId w:val="5"/>
        </w:numPr>
        <w:jc w:val="both"/>
        <w:rPr>
          <w:rFonts w:ascii="Helvetica" w:hAnsi="Helvetica" w:cs="Helvetica"/>
          <w:color w:val="1C1E29"/>
          <w:sz w:val="22"/>
          <w:szCs w:val="22"/>
        </w:rPr>
      </w:pPr>
      <w:r w:rsidRPr="004C739A">
        <w:rPr>
          <w:rFonts w:ascii="Helvetica" w:hAnsi="Helvetica" w:cs="Helvetica"/>
          <w:color w:val="1C1E29"/>
          <w:sz w:val="22"/>
          <w:szCs w:val="22"/>
        </w:rPr>
        <w:t>Submission of recommendations and reports towards Government of Georgia and Government of Russian Federation as a country having effective control over the occupied territory of South Ossetia and to request urgent and effective measures for the restoration of freedom of movement as a vitally important aspect for the improvement of human rights situation of the isolated population. </w:t>
      </w:r>
    </w:p>
    <w:p w14:paraId="6FB1C16D" w14:textId="50CECDB4" w:rsidR="00D03975" w:rsidRPr="004C739A" w:rsidRDefault="00305D38" w:rsidP="00D03975">
      <w:pPr>
        <w:numPr>
          <w:ilvl w:val="0"/>
          <w:numId w:val="5"/>
        </w:numPr>
        <w:jc w:val="both"/>
        <w:rPr>
          <w:rFonts w:ascii="Helvetica" w:hAnsi="Helvetica" w:cs="Helvetica"/>
          <w:color w:val="1C1E29"/>
          <w:sz w:val="22"/>
          <w:szCs w:val="22"/>
        </w:rPr>
      </w:pPr>
      <w:r w:rsidRPr="004C739A">
        <w:rPr>
          <w:rFonts w:ascii="Helvetica" w:hAnsi="Helvetica" w:cs="Helvetica"/>
          <w:color w:val="1C1E29"/>
          <w:sz w:val="22"/>
          <w:szCs w:val="22"/>
        </w:rPr>
        <w:t>Application to</w:t>
      </w:r>
      <w:r w:rsidR="00D03975" w:rsidRPr="004C739A">
        <w:rPr>
          <w:rFonts w:ascii="Helvetica" w:hAnsi="Helvetica" w:cs="Helvetica"/>
          <w:color w:val="1C1E29"/>
          <w:sz w:val="22"/>
          <w:szCs w:val="22"/>
        </w:rPr>
        <w:t xml:space="preserve"> all diplomatic and political mechanisms for the timely release of Dr. Vaja Gaprindashvili. </w:t>
      </w:r>
    </w:p>
    <w:p w14:paraId="115656EE" w14:textId="6AECCC00" w:rsidR="00D03975" w:rsidRPr="004C739A" w:rsidRDefault="00D03975" w:rsidP="00D03975">
      <w:pPr>
        <w:numPr>
          <w:ilvl w:val="0"/>
          <w:numId w:val="5"/>
        </w:numPr>
        <w:jc w:val="both"/>
        <w:rPr>
          <w:rFonts w:ascii="Helvetica" w:hAnsi="Helvetica" w:cs="Helvetica"/>
          <w:color w:val="1C1E29"/>
          <w:sz w:val="22"/>
          <w:szCs w:val="22"/>
        </w:rPr>
      </w:pPr>
      <w:r w:rsidRPr="004C739A">
        <w:rPr>
          <w:rFonts w:ascii="Helvetica" w:hAnsi="Helvetica" w:cs="Helvetica"/>
          <w:color w:val="1C1E29"/>
          <w:sz w:val="22"/>
          <w:szCs w:val="22"/>
        </w:rPr>
        <w:t>With humanitarian purposes, foster</w:t>
      </w:r>
      <w:r w:rsidR="00F45701">
        <w:rPr>
          <w:rFonts w:ascii="Helvetica" w:hAnsi="Helvetica" w:cs="Helvetica"/>
          <w:color w:val="1C1E29"/>
          <w:sz w:val="22"/>
          <w:szCs w:val="22"/>
        </w:rPr>
        <w:t>ing</w:t>
      </w:r>
      <w:r w:rsidRPr="004C739A">
        <w:rPr>
          <w:rFonts w:ascii="Helvetica" w:hAnsi="Helvetica" w:cs="Helvetica"/>
          <w:color w:val="1C1E29"/>
          <w:sz w:val="22"/>
          <w:szCs w:val="22"/>
        </w:rPr>
        <w:t xml:space="preserve"> transportation of patients to the central government-controlled territory for the timely and due healthcare. </w:t>
      </w:r>
    </w:p>
    <w:p w14:paraId="3851A454" w14:textId="77777777" w:rsidR="00D03975" w:rsidRPr="004C739A" w:rsidRDefault="00D03975" w:rsidP="00D03975">
      <w:pPr>
        <w:numPr>
          <w:ilvl w:val="0"/>
          <w:numId w:val="5"/>
        </w:numPr>
        <w:jc w:val="both"/>
        <w:rPr>
          <w:rFonts w:ascii="Helvetica" w:hAnsi="Helvetica" w:cs="Helvetica"/>
          <w:color w:val="1C1E29"/>
          <w:sz w:val="22"/>
          <w:szCs w:val="22"/>
        </w:rPr>
      </w:pPr>
      <w:r w:rsidRPr="004C739A">
        <w:rPr>
          <w:rFonts w:ascii="Helvetica" w:hAnsi="Helvetica" w:cs="Helvetica"/>
          <w:color w:val="1C1E29"/>
          <w:sz w:val="22"/>
          <w:szCs w:val="22"/>
        </w:rPr>
        <w:t>To rethink the enactment of effective monitoring mechanisms for human rights on the ground.</w:t>
      </w:r>
    </w:p>
    <w:p w14:paraId="2F1A0960" w14:textId="40FB83F5" w:rsidR="00D03975" w:rsidRDefault="00D03975" w:rsidP="00D03975">
      <w:pPr>
        <w:numPr>
          <w:ilvl w:val="0"/>
          <w:numId w:val="5"/>
        </w:numPr>
        <w:jc w:val="both"/>
        <w:rPr>
          <w:rFonts w:ascii="Helvetica" w:hAnsi="Helvetica" w:cs="Helvetica"/>
          <w:color w:val="1C1E29"/>
          <w:sz w:val="22"/>
          <w:szCs w:val="22"/>
        </w:rPr>
      </w:pPr>
      <w:r w:rsidRPr="004C739A">
        <w:rPr>
          <w:rFonts w:ascii="Helvetica" w:hAnsi="Helvetica" w:cs="Helvetica"/>
          <w:color w:val="1C1E29"/>
          <w:sz w:val="22"/>
          <w:szCs w:val="22"/>
        </w:rPr>
        <w:t>To establish a monitoring visit in Georgia for the proper examination of the situation. </w:t>
      </w:r>
    </w:p>
    <w:p w14:paraId="0C0230EA" w14:textId="35C5F786" w:rsidR="00323B2A" w:rsidRDefault="00323B2A" w:rsidP="00323B2A">
      <w:pPr>
        <w:jc w:val="both"/>
        <w:rPr>
          <w:rFonts w:ascii="Helvetica" w:hAnsi="Helvetica" w:cs="Helvetica"/>
          <w:color w:val="1C1E29"/>
          <w:sz w:val="22"/>
          <w:szCs w:val="22"/>
        </w:rPr>
      </w:pPr>
    </w:p>
    <w:p w14:paraId="540E179D" w14:textId="51526D40" w:rsidR="00323B2A" w:rsidRPr="00117F3D" w:rsidRDefault="00323B2A" w:rsidP="00323B2A">
      <w:pPr>
        <w:jc w:val="both"/>
        <w:rPr>
          <w:rFonts w:ascii="Helvetica" w:hAnsi="Helvetica" w:cs="Helvetica"/>
          <w:i/>
          <w:iCs/>
          <w:color w:val="1C1E29"/>
          <w:sz w:val="22"/>
          <w:szCs w:val="22"/>
        </w:rPr>
      </w:pPr>
      <w:r w:rsidRPr="00117F3D">
        <w:rPr>
          <w:rFonts w:ascii="Helvetica" w:hAnsi="Helvetica" w:cs="Helvetica"/>
          <w:i/>
          <w:iCs/>
          <w:color w:val="1C1E29"/>
          <w:sz w:val="22"/>
          <w:szCs w:val="22"/>
        </w:rPr>
        <w:t xml:space="preserve">We also call International Committee of Red Cross to regularly visit and monitor detention conditions of doctor Vaja Gaprindashvili in </w:t>
      </w:r>
      <w:r w:rsidR="00117F3D" w:rsidRPr="00117F3D">
        <w:rPr>
          <w:rFonts w:ascii="Helvetica" w:hAnsi="Helvetica" w:cs="Helvetica"/>
          <w:i/>
          <w:iCs/>
          <w:color w:val="1C1E29"/>
          <w:sz w:val="22"/>
          <w:szCs w:val="22"/>
        </w:rPr>
        <w:t xml:space="preserve">Tskhinvali prison. </w:t>
      </w:r>
    </w:p>
    <w:p w14:paraId="14E68012"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69CBDDFF" w14:textId="195B02BB"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r w:rsidRPr="004C739A">
        <w:rPr>
          <w:rFonts w:ascii="Helvetica" w:hAnsi="Helvetica" w:cs="Helvetica"/>
          <w:color w:val="1C1E29"/>
          <w:sz w:val="22"/>
          <w:szCs w:val="22"/>
        </w:rPr>
        <w:t>We do believe that this is the situation that mostly requires attention, engagement, and measures from international stakeholders</w:t>
      </w:r>
      <w:r w:rsidR="00F45701">
        <w:rPr>
          <w:rFonts w:ascii="Helvetica" w:hAnsi="Helvetica" w:cs="Helvetica"/>
          <w:color w:val="1C1E29"/>
          <w:sz w:val="22"/>
          <w:szCs w:val="22"/>
        </w:rPr>
        <w:t>,</w:t>
      </w:r>
      <w:r w:rsidRPr="004C739A">
        <w:rPr>
          <w:rFonts w:ascii="Helvetica" w:hAnsi="Helvetica" w:cs="Helvetica"/>
          <w:color w:val="1C1E29"/>
          <w:sz w:val="22"/>
          <w:szCs w:val="22"/>
        </w:rPr>
        <w:t xml:space="preserve"> if we are claiming to provide human rights universally while many in the occupied territories are left behind. </w:t>
      </w:r>
      <w:bookmarkStart w:id="0" w:name="_GoBack"/>
      <w:bookmarkEnd w:id="0"/>
    </w:p>
    <w:p w14:paraId="057CD7C0" w14:textId="77777777" w:rsidR="001B5B5A" w:rsidRPr="004C739A" w:rsidRDefault="001B5B5A" w:rsidP="00D03975">
      <w:pPr>
        <w:pStyle w:val="NormalWeb"/>
        <w:spacing w:before="0" w:beforeAutospacing="0" w:after="0" w:afterAutospacing="0"/>
        <w:jc w:val="both"/>
        <w:rPr>
          <w:rFonts w:ascii="Helvetica" w:hAnsi="Helvetica" w:cs="Helvetica"/>
          <w:color w:val="1C1E29"/>
          <w:sz w:val="22"/>
          <w:szCs w:val="22"/>
        </w:rPr>
      </w:pPr>
    </w:p>
    <w:p w14:paraId="174253FC"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669CAF7B" w14:textId="77777777" w:rsidR="00D03975" w:rsidRPr="001B5B5A" w:rsidRDefault="00D03975" w:rsidP="00D03975">
      <w:pPr>
        <w:pStyle w:val="NormalWeb"/>
        <w:spacing w:before="0" w:beforeAutospacing="0" w:after="0" w:afterAutospacing="0"/>
        <w:jc w:val="both"/>
        <w:rPr>
          <w:rFonts w:ascii="Helvetica" w:hAnsi="Helvetica" w:cs="Helvetica"/>
          <w:b/>
          <w:bCs/>
          <w:color w:val="1C1E29"/>
          <w:sz w:val="22"/>
          <w:szCs w:val="22"/>
        </w:rPr>
      </w:pPr>
      <w:r w:rsidRPr="001B5B5A">
        <w:rPr>
          <w:rFonts w:ascii="Helvetica" w:hAnsi="Helvetica" w:cs="Helvetica"/>
          <w:b/>
          <w:bCs/>
          <w:color w:val="1C1E29"/>
          <w:sz w:val="22"/>
          <w:szCs w:val="22"/>
        </w:rPr>
        <w:t>Signatory Organizations: </w:t>
      </w:r>
    </w:p>
    <w:p w14:paraId="2404DFB8" w14:textId="77777777" w:rsidR="00D03975" w:rsidRPr="004C739A" w:rsidRDefault="00D03975" w:rsidP="00D03975">
      <w:pPr>
        <w:pStyle w:val="NormalWeb"/>
        <w:spacing w:before="0" w:beforeAutospacing="0" w:after="0" w:afterAutospacing="0"/>
        <w:jc w:val="both"/>
        <w:rPr>
          <w:rFonts w:ascii="Helvetica" w:hAnsi="Helvetica" w:cs="Helvetica"/>
          <w:color w:val="1C1E29"/>
          <w:sz w:val="22"/>
          <w:szCs w:val="22"/>
        </w:rPr>
      </w:pPr>
    </w:p>
    <w:p w14:paraId="6A076E1B" w14:textId="5F8B62BF" w:rsidR="00D03975" w:rsidRDefault="00F45701" w:rsidP="00DD5E0C">
      <w:pPr>
        <w:pStyle w:val="NormalWeb"/>
        <w:spacing w:before="0" w:beforeAutospacing="0" w:after="0" w:afterAutospacing="0" w:line="276" w:lineRule="auto"/>
        <w:ind w:left="720"/>
        <w:jc w:val="both"/>
        <w:rPr>
          <w:rFonts w:ascii="Helvetica" w:hAnsi="Helvetica" w:cs="Helvetica"/>
          <w:color w:val="1C1E29"/>
          <w:sz w:val="22"/>
          <w:szCs w:val="22"/>
        </w:rPr>
      </w:pPr>
      <w:r>
        <w:rPr>
          <w:rFonts w:ascii="Helvetica" w:hAnsi="Helvetica" w:cs="Helvetica"/>
          <w:color w:val="1C1E29"/>
          <w:sz w:val="22"/>
          <w:szCs w:val="22"/>
        </w:rPr>
        <w:t>Human Rights Education and Monitoring Center (EMC)</w:t>
      </w:r>
    </w:p>
    <w:p w14:paraId="01582331" w14:textId="515B5B5B" w:rsidR="007E0144" w:rsidRPr="00D2661D" w:rsidRDefault="007E0144" w:rsidP="00DD5E0C">
      <w:pPr>
        <w:pStyle w:val="NormalWeb"/>
        <w:spacing w:before="0" w:beforeAutospacing="0" w:after="0" w:afterAutospacing="0" w:line="276" w:lineRule="auto"/>
        <w:ind w:left="720"/>
        <w:jc w:val="both"/>
        <w:rPr>
          <w:rFonts w:ascii="Helvetica" w:hAnsi="Helvetica" w:cs="Helvetica"/>
          <w:color w:val="1C1E29"/>
          <w:sz w:val="22"/>
          <w:szCs w:val="22"/>
          <w:lang w:val="ka-GE"/>
        </w:rPr>
      </w:pPr>
      <w:r>
        <w:rPr>
          <w:rFonts w:ascii="Helvetica" w:hAnsi="Helvetica" w:cs="Helvetica"/>
          <w:color w:val="1C1E29"/>
          <w:sz w:val="22"/>
          <w:szCs w:val="22"/>
        </w:rPr>
        <w:t>Freedom Now</w:t>
      </w:r>
    </w:p>
    <w:p w14:paraId="23337943" w14:textId="6CEA3149" w:rsidR="00885FC0" w:rsidRDefault="00885FC0" w:rsidP="00DD5E0C">
      <w:pPr>
        <w:pStyle w:val="NormalWeb"/>
        <w:spacing w:before="0" w:beforeAutospacing="0" w:after="0" w:afterAutospacing="0" w:line="276" w:lineRule="auto"/>
        <w:ind w:left="720"/>
        <w:jc w:val="both"/>
        <w:rPr>
          <w:rFonts w:ascii="Helvetica" w:hAnsi="Helvetica" w:cs="Helvetica"/>
          <w:color w:val="1C1E29"/>
          <w:sz w:val="22"/>
          <w:szCs w:val="22"/>
        </w:rPr>
      </w:pPr>
      <w:r>
        <w:rPr>
          <w:rFonts w:ascii="Helvetica" w:hAnsi="Helvetica" w:cs="Helvetica"/>
          <w:color w:val="1C1E29"/>
          <w:sz w:val="22"/>
          <w:szCs w:val="22"/>
        </w:rPr>
        <w:t>International Partnership for Human Rights (IPHR)</w:t>
      </w:r>
    </w:p>
    <w:p w14:paraId="6F71BE9E" w14:textId="79CD5559" w:rsidR="00885FC0" w:rsidRPr="00D2661D" w:rsidRDefault="00885FC0" w:rsidP="00DD5E0C">
      <w:pPr>
        <w:pStyle w:val="NormalWeb"/>
        <w:spacing w:before="0" w:beforeAutospacing="0" w:after="0" w:afterAutospacing="0" w:line="276" w:lineRule="auto"/>
        <w:ind w:left="720"/>
        <w:jc w:val="both"/>
        <w:rPr>
          <w:rFonts w:ascii="Helvetica" w:hAnsi="Helvetica" w:cs="Helvetica"/>
          <w:color w:val="1C1E29"/>
          <w:sz w:val="22"/>
          <w:szCs w:val="22"/>
          <w:lang w:val="ka-GE"/>
        </w:rPr>
      </w:pPr>
      <w:r>
        <w:rPr>
          <w:rFonts w:ascii="Helvetica" w:hAnsi="Helvetica" w:cs="Helvetica"/>
          <w:color w:val="1C1E29"/>
          <w:sz w:val="22"/>
          <w:szCs w:val="22"/>
        </w:rPr>
        <w:t>Open Society Georgia Foundation (OSGF)</w:t>
      </w:r>
    </w:p>
    <w:p w14:paraId="1A2CDE84" w14:textId="77756822" w:rsidR="00885FC0" w:rsidRDefault="00885FC0" w:rsidP="00DD5E0C">
      <w:pPr>
        <w:pStyle w:val="NormalWeb"/>
        <w:spacing w:before="0" w:beforeAutospacing="0" w:after="0" w:afterAutospacing="0" w:line="276" w:lineRule="auto"/>
        <w:ind w:left="720"/>
        <w:jc w:val="both"/>
        <w:rPr>
          <w:rFonts w:ascii="Helvetica" w:hAnsi="Helvetica" w:cs="Helvetica"/>
          <w:color w:val="1C1E29"/>
          <w:sz w:val="22"/>
          <w:szCs w:val="22"/>
        </w:rPr>
      </w:pPr>
      <w:r>
        <w:rPr>
          <w:rFonts w:ascii="Helvetica" w:hAnsi="Helvetica" w:cs="Helvetica"/>
          <w:color w:val="1C1E29"/>
          <w:sz w:val="22"/>
          <w:szCs w:val="22"/>
        </w:rPr>
        <w:t>Human Rights Center</w:t>
      </w:r>
    </w:p>
    <w:p w14:paraId="6E28D16A" w14:textId="54ABF072" w:rsidR="00885FC0" w:rsidRDefault="00885FC0" w:rsidP="00DD5E0C">
      <w:pPr>
        <w:pStyle w:val="NormalWeb"/>
        <w:spacing w:before="0" w:beforeAutospacing="0" w:after="0" w:afterAutospacing="0" w:line="276" w:lineRule="auto"/>
        <w:ind w:left="720"/>
        <w:jc w:val="both"/>
        <w:rPr>
          <w:rFonts w:ascii="Helvetica" w:hAnsi="Helvetica" w:cs="Helvetica"/>
          <w:color w:val="1C1E29"/>
          <w:sz w:val="22"/>
          <w:szCs w:val="22"/>
        </w:rPr>
      </w:pPr>
      <w:r>
        <w:rPr>
          <w:rFonts w:ascii="Helvetica" w:hAnsi="Helvetica" w:cs="Helvetica"/>
          <w:color w:val="1C1E29"/>
          <w:sz w:val="22"/>
          <w:szCs w:val="22"/>
        </w:rPr>
        <w:lastRenderedPageBreak/>
        <w:t xml:space="preserve">Union </w:t>
      </w:r>
      <w:proofErr w:type="spellStart"/>
      <w:r>
        <w:rPr>
          <w:rFonts w:ascii="Helvetica" w:hAnsi="Helvetica" w:cs="Helvetica"/>
          <w:color w:val="1C1E29"/>
          <w:sz w:val="22"/>
          <w:szCs w:val="22"/>
        </w:rPr>
        <w:t>Sapari</w:t>
      </w:r>
      <w:proofErr w:type="spellEnd"/>
    </w:p>
    <w:p w14:paraId="633433A2" w14:textId="39A37DE2" w:rsidR="00885FC0" w:rsidRDefault="00885FC0" w:rsidP="00DD5E0C">
      <w:pPr>
        <w:pStyle w:val="NormalWeb"/>
        <w:spacing w:before="0" w:beforeAutospacing="0" w:after="0" w:afterAutospacing="0" w:line="276" w:lineRule="auto"/>
        <w:ind w:left="720"/>
        <w:jc w:val="both"/>
        <w:rPr>
          <w:rFonts w:ascii="Helvetica" w:hAnsi="Helvetica" w:cs="Helvetica"/>
          <w:color w:val="1C1E29"/>
          <w:sz w:val="22"/>
          <w:szCs w:val="22"/>
        </w:rPr>
      </w:pPr>
      <w:r>
        <w:rPr>
          <w:rFonts w:ascii="Helvetica" w:hAnsi="Helvetica" w:cs="Helvetica"/>
          <w:color w:val="1C1E29"/>
          <w:sz w:val="22"/>
          <w:szCs w:val="22"/>
        </w:rPr>
        <w:t>Women’s initiatives Supportive Group</w:t>
      </w:r>
    </w:p>
    <w:p w14:paraId="50210CC9" w14:textId="00F8E2AD" w:rsidR="00885FC0" w:rsidRPr="00885FC0" w:rsidRDefault="00885FC0" w:rsidP="00DD5E0C">
      <w:pPr>
        <w:pStyle w:val="NormalWeb"/>
        <w:spacing w:before="0" w:beforeAutospacing="0" w:after="0" w:afterAutospacing="0" w:line="276" w:lineRule="auto"/>
        <w:ind w:left="720"/>
        <w:jc w:val="both"/>
        <w:rPr>
          <w:rFonts w:ascii="Helvetica" w:hAnsi="Helvetica" w:cs="Helvetica"/>
          <w:color w:val="1C1E29"/>
          <w:sz w:val="22"/>
          <w:szCs w:val="22"/>
        </w:rPr>
      </w:pPr>
      <w:r>
        <w:rPr>
          <w:rFonts w:ascii="Helvetica" w:hAnsi="Helvetica" w:cs="Helvetica"/>
          <w:color w:val="1C1E29"/>
          <w:sz w:val="22"/>
          <w:szCs w:val="22"/>
        </w:rPr>
        <w:t>Georgian Democratic Initiative</w:t>
      </w:r>
      <w:r>
        <w:rPr>
          <w:rFonts w:ascii="Helvetica" w:hAnsi="Helvetica" w:cs="Helvetica"/>
          <w:color w:val="1C1E29"/>
          <w:sz w:val="22"/>
          <w:szCs w:val="22"/>
          <w:lang w:val="ka-GE"/>
        </w:rPr>
        <w:t xml:space="preserve"> (</w:t>
      </w:r>
      <w:r>
        <w:rPr>
          <w:rFonts w:ascii="Helvetica" w:hAnsi="Helvetica" w:cs="Helvetica"/>
          <w:color w:val="1C1E29"/>
          <w:sz w:val="22"/>
          <w:szCs w:val="22"/>
        </w:rPr>
        <w:t>GDI)</w:t>
      </w:r>
    </w:p>
    <w:p w14:paraId="121BC5E6" w14:textId="26684E69" w:rsidR="00885FC0" w:rsidRDefault="00885FC0" w:rsidP="00DD5E0C">
      <w:pPr>
        <w:pStyle w:val="NormalWeb"/>
        <w:spacing w:before="0" w:beforeAutospacing="0" w:after="0" w:afterAutospacing="0" w:line="276" w:lineRule="auto"/>
        <w:ind w:left="720"/>
        <w:jc w:val="both"/>
        <w:rPr>
          <w:rFonts w:ascii="Helvetica" w:hAnsi="Helvetica" w:cs="Helvetica"/>
          <w:color w:val="1C1E29"/>
          <w:sz w:val="22"/>
          <w:szCs w:val="22"/>
        </w:rPr>
      </w:pPr>
      <w:r>
        <w:rPr>
          <w:rFonts w:ascii="Helvetica" w:hAnsi="Helvetica" w:cs="Helvetica"/>
          <w:color w:val="1C1E29"/>
          <w:sz w:val="22"/>
          <w:szCs w:val="22"/>
        </w:rPr>
        <w:t xml:space="preserve">Georgia’s Young Lawyers Association (GYLA); </w:t>
      </w:r>
    </w:p>
    <w:p w14:paraId="0DB44006" w14:textId="0177C1DD" w:rsidR="00885FC0" w:rsidRDefault="00885FC0" w:rsidP="00DD5E0C">
      <w:pPr>
        <w:pStyle w:val="NormalWeb"/>
        <w:spacing w:before="0" w:beforeAutospacing="0" w:after="0" w:afterAutospacing="0" w:line="276" w:lineRule="auto"/>
        <w:ind w:left="720"/>
        <w:jc w:val="both"/>
        <w:rPr>
          <w:rFonts w:ascii="Helvetica" w:hAnsi="Helvetica" w:cs="Helvetica"/>
          <w:color w:val="1C1E29"/>
          <w:sz w:val="22"/>
          <w:szCs w:val="22"/>
        </w:rPr>
      </w:pPr>
      <w:r>
        <w:rPr>
          <w:rFonts w:ascii="Helvetica" w:hAnsi="Helvetica" w:cs="Helvetica"/>
          <w:color w:val="1C1E29"/>
          <w:sz w:val="22"/>
          <w:szCs w:val="22"/>
        </w:rPr>
        <w:t>Article 42 of the Constitution</w:t>
      </w:r>
    </w:p>
    <w:p w14:paraId="550D07A4" w14:textId="649DB304" w:rsidR="00885FC0" w:rsidRDefault="00885FC0" w:rsidP="00DD5E0C">
      <w:pPr>
        <w:pStyle w:val="NormalWeb"/>
        <w:spacing w:before="0" w:beforeAutospacing="0" w:after="0" w:afterAutospacing="0" w:line="276" w:lineRule="auto"/>
        <w:ind w:left="720"/>
        <w:jc w:val="both"/>
        <w:rPr>
          <w:rFonts w:ascii="Helvetica" w:hAnsi="Helvetica" w:cs="Helvetica"/>
          <w:color w:val="1C1E29"/>
          <w:sz w:val="22"/>
          <w:szCs w:val="22"/>
        </w:rPr>
      </w:pPr>
      <w:r>
        <w:rPr>
          <w:rFonts w:ascii="Helvetica" w:hAnsi="Helvetica" w:cs="Helvetica"/>
          <w:color w:val="1C1E29"/>
          <w:sz w:val="22"/>
          <w:szCs w:val="22"/>
        </w:rPr>
        <w:t>Tolerance and Diversity Institute (TDI)</w:t>
      </w:r>
    </w:p>
    <w:p w14:paraId="051AB49E" w14:textId="77777777" w:rsidR="00885FC0" w:rsidRPr="00885FC0" w:rsidRDefault="00885FC0" w:rsidP="00885FC0">
      <w:pPr>
        <w:pStyle w:val="NormalWeb"/>
        <w:spacing w:before="0" w:beforeAutospacing="0" w:after="0" w:afterAutospacing="0" w:line="276" w:lineRule="auto"/>
        <w:jc w:val="both"/>
        <w:rPr>
          <w:rFonts w:ascii="Helvetica" w:hAnsi="Helvetica" w:cs="Helvetica"/>
          <w:color w:val="1C1E29"/>
          <w:sz w:val="22"/>
          <w:szCs w:val="22"/>
        </w:rPr>
      </w:pPr>
    </w:p>
    <w:p w14:paraId="3A1800F6" w14:textId="147E17B8" w:rsidR="00D03975" w:rsidRDefault="00D03975" w:rsidP="00D03975">
      <w:pPr>
        <w:pStyle w:val="NormalWeb"/>
        <w:spacing w:before="0" w:beforeAutospacing="0" w:after="0" w:afterAutospacing="0"/>
        <w:jc w:val="both"/>
        <w:rPr>
          <w:rFonts w:ascii="Helvetica" w:hAnsi="Helvetica" w:cs="Helvetica"/>
          <w:color w:val="1C1E29"/>
          <w:sz w:val="22"/>
          <w:szCs w:val="22"/>
        </w:rPr>
      </w:pPr>
    </w:p>
    <w:p w14:paraId="52A366EE" w14:textId="61B0A81A" w:rsidR="00F45701" w:rsidRDefault="00F45701" w:rsidP="00D03975">
      <w:pPr>
        <w:pStyle w:val="NormalWeb"/>
        <w:spacing w:before="0" w:beforeAutospacing="0" w:after="0" w:afterAutospacing="0"/>
        <w:jc w:val="both"/>
        <w:rPr>
          <w:rFonts w:ascii="Helvetica" w:hAnsi="Helvetica" w:cs="Helvetica"/>
          <w:color w:val="1C1E29"/>
          <w:sz w:val="22"/>
          <w:szCs w:val="22"/>
        </w:rPr>
      </w:pPr>
    </w:p>
    <w:p w14:paraId="512DE003" w14:textId="67F7A283" w:rsidR="00F45701" w:rsidRDefault="00F45701" w:rsidP="00D03975">
      <w:pPr>
        <w:pStyle w:val="NormalWeb"/>
        <w:spacing w:before="0" w:beforeAutospacing="0" w:after="0" w:afterAutospacing="0"/>
        <w:jc w:val="both"/>
        <w:rPr>
          <w:rFonts w:ascii="Helvetica" w:hAnsi="Helvetica" w:cs="Helvetica"/>
          <w:color w:val="1C1E29"/>
          <w:sz w:val="22"/>
          <w:szCs w:val="22"/>
        </w:rPr>
      </w:pPr>
    </w:p>
    <w:p w14:paraId="42D80010" w14:textId="77777777" w:rsidR="00F45701" w:rsidRPr="004C739A" w:rsidRDefault="00F45701" w:rsidP="00D03975">
      <w:pPr>
        <w:pStyle w:val="NormalWeb"/>
        <w:spacing w:before="0" w:beforeAutospacing="0" w:after="0" w:afterAutospacing="0"/>
        <w:jc w:val="both"/>
        <w:rPr>
          <w:rFonts w:ascii="Helvetica" w:hAnsi="Helvetica" w:cs="Helvetica"/>
          <w:color w:val="1C1E29"/>
          <w:sz w:val="22"/>
          <w:szCs w:val="22"/>
        </w:rPr>
      </w:pPr>
    </w:p>
    <w:p w14:paraId="45E9C092" w14:textId="13C75E90" w:rsidR="00D03975" w:rsidRPr="004C739A" w:rsidRDefault="00367AF3" w:rsidP="00D03975">
      <w:pPr>
        <w:pStyle w:val="NormalWeb"/>
        <w:spacing w:before="0" w:beforeAutospacing="0" w:after="0" w:afterAutospacing="0"/>
        <w:jc w:val="both"/>
        <w:rPr>
          <w:rFonts w:ascii="Helvetica" w:hAnsi="Helvetica" w:cs="Helvetica"/>
          <w:color w:val="1C1E29"/>
          <w:sz w:val="22"/>
          <w:szCs w:val="22"/>
        </w:rPr>
      </w:pPr>
      <w:hyperlink w:anchor="_ftnref1" w:tgtFrame="_blank" w:history="1">
        <w:r w:rsidR="00D03975" w:rsidRPr="004C739A">
          <w:rPr>
            <w:rStyle w:val="Hyperlink"/>
            <w:rFonts w:ascii="Helvetica" w:hAnsi="Helvetica" w:cs="Helvetica"/>
            <w:color w:val="4A6EE0"/>
            <w:sz w:val="22"/>
            <w:szCs w:val="22"/>
          </w:rPr>
          <w:t>[1]</w:t>
        </w:r>
      </w:hyperlink>
      <w:r w:rsidR="00D03975" w:rsidRPr="004C739A">
        <w:rPr>
          <w:rFonts w:ascii="Helvetica" w:hAnsi="Helvetica" w:cs="Helvetica"/>
          <w:color w:val="1C1E29"/>
          <w:sz w:val="22"/>
          <w:szCs w:val="22"/>
        </w:rPr>
        <w:t> ZONE OF BARBED WIRES- Mass Human Rights Violations along the Dividing Lines of Abkhazia and South Ossetia: </w:t>
      </w:r>
      <w:hyperlink r:id="rId8" w:tgtFrame="_blank" w:history="1">
        <w:r w:rsidR="00D03975" w:rsidRPr="004C739A">
          <w:rPr>
            <w:rStyle w:val="Hyperlink"/>
            <w:rFonts w:ascii="Helvetica" w:hAnsi="Helvetica" w:cs="Helvetica"/>
            <w:color w:val="4A6EE0"/>
            <w:sz w:val="22"/>
            <w:szCs w:val="22"/>
          </w:rPr>
          <w:t>http://www.hridc.org/admin/editor/uploads/files/pdf/hrcrep2018/Zone%20of%20Barbed%20Wires-Report%20-eng%202019.pdf</w:t>
        </w:r>
      </w:hyperlink>
      <w:r w:rsidR="00D03975" w:rsidRPr="004C739A">
        <w:rPr>
          <w:rFonts w:ascii="Helvetica" w:hAnsi="Helvetica" w:cs="Helvetica"/>
          <w:color w:val="1C1E29"/>
          <w:sz w:val="22"/>
          <w:szCs w:val="22"/>
        </w:rPr>
        <w:t xml:space="preserve"> ; </w:t>
      </w:r>
      <w:proofErr w:type="spellStart"/>
      <w:r w:rsidR="00D03975" w:rsidRPr="004C739A">
        <w:rPr>
          <w:rFonts w:ascii="Helvetica" w:hAnsi="Helvetica" w:cs="Helvetica"/>
          <w:color w:val="1C1E29"/>
          <w:sz w:val="22"/>
          <w:szCs w:val="22"/>
        </w:rPr>
        <w:t>Hammarberg</w:t>
      </w:r>
      <w:proofErr w:type="spellEnd"/>
      <w:r w:rsidR="00D03975" w:rsidRPr="004C739A">
        <w:rPr>
          <w:rFonts w:ascii="Helvetica" w:hAnsi="Helvetica" w:cs="Helvetica"/>
          <w:color w:val="1C1E29"/>
          <w:sz w:val="22"/>
          <w:szCs w:val="22"/>
        </w:rPr>
        <w:t xml:space="preserve"> and </w:t>
      </w:r>
      <w:proofErr w:type="spellStart"/>
      <w:r w:rsidR="00D03975" w:rsidRPr="004C739A">
        <w:rPr>
          <w:rFonts w:ascii="Helvetica" w:hAnsi="Helvetica" w:cs="Helvetica"/>
          <w:color w:val="1C1E29"/>
          <w:sz w:val="22"/>
          <w:szCs w:val="22"/>
        </w:rPr>
        <w:t>Grono</w:t>
      </w:r>
      <w:proofErr w:type="spellEnd"/>
      <w:r w:rsidR="00D03975" w:rsidRPr="004C739A">
        <w:rPr>
          <w:rFonts w:ascii="Helvetica" w:hAnsi="Helvetica" w:cs="Helvetica"/>
          <w:color w:val="1C1E29"/>
          <w:sz w:val="22"/>
          <w:szCs w:val="22"/>
        </w:rPr>
        <w:t xml:space="preserve"> report, Human Rights in Abkhazia Today, at </w:t>
      </w:r>
      <w:proofErr w:type="spellStart"/>
      <w:r w:rsidR="00D03975" w:rsidRPr="004C739A">
        <w:rPr>
          <w:rFonts w:ascii="Helvetica" w:hAnsi="Helvetica" w:cs="Helvetica"/>
          <w:color w:val="1C1E29"/>
          <w:sz w:val="22"/>
          <w:szCs w:val="22"/>
        </w:rPr>
        <w:t>pg</w:t>
      </w:r>
      <w:proofErr w:type="spellEnd"/>
      <w:r w:rsidR="00D03975" w:rsidRPr="004C739A">
        <w:rPr>
          <w:rFonts w:ascii="Helvetica" w:hAnsi="Helvetica" w:cs="Helvetica"/>
          <w:color w:val="1C1E29"/>
          <w:sz w:val="22"/>
          <w:szCs w:val="22"/>
        </w:rPr>
        <w:t xml:space="preserve">: 64-65; Public Defender’s Report on Human Rights Situation in Georgia, 2018, </w:t>
      </w:r>
      <w:proofErr w:type="spellStart"/>
      <w:r w:rsidR="00D03975" w:rsidRPr="004C739A">
        <w:rPr>
          <w:rFonts w:ascii="Helvetica" w:hAnsi="Helvetica" w:cs="Helvetica"/>
          <w:color w:val="1C1E29"/>
          <w:sz w:val="22"/>
          <w:szCs w:val="22"/>
        </w:rPr>
        <w:t>pg</w:t>
      </w:r>
      <w:proofErr w:type="spellEnd"/>
      <w:r w:rsidR="00D03975" w:rsidRPr="004C739A">
        <w:rPr>
          <w:rFonts w:ascii="Helvetica" w:hAnsi="Helvetica" w:cs="Helvetica"/>
          <w:color w:val="1C1E29"/>
          <w:sz w:val="22"/>
          <w:szCs w:val="22"/>
        </w:rPr>
        <w:t xml:space="preserve"> 411-412; Amnesty International, Behind Barbed Wire, 2018, </w:t>
      </w:r>
      <w:proofErr w:type="spellStart"/>
      <w:r w:rsidR="00D03975" w:rsidRPr="004C739A">
        <w:rPr>
          <w:rFonts w:ascii="Helvetica" w:hAnsi="Helvetica" w:cs="Helvetica"/>
          <w:color w:val="1C1E29"/>
          <w:sz w:val="22"/>
          <w:szCs w:val="22"/>
        </w:rPr>
        <w:t>pg</w:t>
      </w:r>
      <w:proofErr w:type="spellEnd"/>
      <w:r w:rsidR="00D03975" w:rsidRPr="004C739A">
        <w:rPr>
          <w:rFonts w:ascii="Helvetica" w:hAnsi="Helvetica" w:cs="Helvetica"/>
          <w:color w:val="1C1E29"/>
          <w:sz w:val="22"/>
          <w:szCs w:val="22"/>
        </w:rPr>
        <w:t xml:space="preserve"> 28. </w:t>
      </w:r>
    </w:p>
    <w:p w14:paraId="338D8DC3" w14:textId="77777777" w:rsidR="00D03975" w:rsidRPr="004C739A" w:rsidRDefault="00367AF3" w:rsidP="00D03975">
      <w:pPr>
        <w:pStyle w:val="NormalWeb"/>
        <w:spacing w:before="0" w:beforeAutospacing="0" w:after="0" w:afterAutospacing="0"/>
        <w:jc w:val="both"/>
        <w:rPr>
          <w:rFonts w:ascii="Helvetica" w:hAnsi="Helvetica" w:cs="Helvetica"/>
          <w:color w:val="1C1E29"/>
          <w:sz w:val="22"/>
          <w:szCs w:val="22"/>
        </w:rPr>
      </w:pPr>
      <w:hyperlink w:anchor="_ftnref2" w:tgtFrame="_blank" w:history="1">
        <w:r w:rsidR="00D03975" w:rsidRPr="004C739A">
          <w:rPr>
            <w:rStyle w:val="Hyperlink"/>
            <w:rFonts w:ascii="Helvetica" w:hAnsi="Helvetica" w:cs="Helvetica"/>
            <w:color w:val="4A6EE0"/>
            <w:sz w:val="22"/>
            <w:szCs w:val="22"/>
          </w:rPr>
          <w:t>[2]</w:t>
        </w:r>
        <w:proofErr w:type="spellStart"/>
      </w:hyperlink>
      <w:r w:rsidR="00D03975" w:rsidRPr="004C739A">
        <w:rPr>
          <w:rFonts w:ascii="Helvetica" w:hAnsi="Helvetica" w:cs="Helvetica"/>
          <w:color w:val="1C1E29"/>
          <w:sz w:val="22"/>
          <w:szCs w:val="22"/>
        </w:rPr>
        <w:t>Hammarberg</w:t>
      </w:r>
      <w:proofErr w:type="spellEnd"/>
      <w:r w:rsidR="00D03975" w:rsidRPr="004C739A">
        <w:rPr>
          <w:rFonts w:ascii="Helvetica" w:hAnsi="Helvetica" w:cs="Helvetica"/>
          <w:color w:val="1C1E29"/>
          <w:sz w:val="22"/>
          <w:szCs w:val="22"/>
        </w:rPr>
        <w:t xml:space="preserve"> and </w:t>
      </w:r>
      <w:proofErr w:type="spellStart"/>
      <w:r w:rsidR="00D03975" w:rsidRPr="004C739A">
        <w:rPr>
          <w:rFonts w:ascii="Helvetica" w:hAnsi="Helvetica" w:cs="Helvetica"/>
          <w:color w:val="1C1E29"/>
          <w:sz w:val="22"/>
          <w:szCs w:val="22"/>
        </w:rPr>
        <w:t>Grono</w:t>
      </w:r>
      <w:proofErr w:type="spellEnd"/>
      <w:r w:rsidR="00D03975" w:rsidRPr="004C739A">
        <w:rPr>
          <w:rFonts w:ascii="Helvetica" w:hAnsi="Helvetica" w:cs="Helvetica"/>
          <w:color w:val="1C1E29"/>
          <w:sz w:val="22"/>
          <w:szCs w:val="22"/>
        </w:rPr>
        <w:t xml:space="preserve"> report, at </w:t>
      </w:r>
      <w:proofErr w:type="spellStart"/>
      <w:r w:rsidR="00D03975" w:rsidRPr="004C739A">
        <w:rPr>
          <w:rFonts w:ascii="Helvetica" w:hAnsi="Helvetica" w:cs="Helvetica"/>
          <w:color w:val="1C1E29"/>
          <w:sz w:val="22"/>
          <w:szCs w:val="22"/>
        </w:rPr>
        <w:t>pg</w:t>
      </w:r>
      <w:proofErr w:type="spellEnd"/>
      <w:r w:rsidR="00D03975" w:rsidRPr="004C739A">
        <w:rPr>
          <w:rFonts w:ascii="Helvetica" w:hAnsi="Helvetica" w:cs="Helvetica"/>
          <w:color w:val="1C1E29"/>
          <w:sz w:val="22"/>
          <w:szCs w:val="22"/>
        </w:rPr>
        <w:t>: 67. </w:t>
      </w:r>
    </w:p>
    <w:p w14:paraId="58843AD2" w14:textId="77777777" w:rsidR="00D03975" w:rsidRPr="004C739A" w:rsidRDefault="00367AF3" w:rsidP="00D03975">
      <w:pPr>
        <w:pStyle w:val="NormalWeb"/>
        <w:spacing w:before="0" w:beforeAutospacing="0" w:after="0" w:afterAutospacing="0"/>
        <w:jc w:val="both"/>
        <w:rPr>
          <w:rFonts w:ascii="Helvetica" w:hAnsi="Helvetica" w:cs="Helvetica"/>
          <w:color w:val="1C1E29"/>
          <w:sz w:val="22"/>
          <w:szCs w:val="22"/>
        </w:rPr>
      </w:pPr>
      <w:hyperlink w:anchor="_ftnref3" w:tgtFrame="_blank" w:history="1">
        <w:r w:rsidR="00D03975" w:rsidRPr="004C739A">
          <w:rPr>
            <w:rStyle w:val="Hyperlink"/>
            <w:rFonts w:ascii="Helvetica" w:hAnsi="Helvetica" w:cs="Helvetica"/>
            <w:color w:val="4A6EE0"/>
            <w:sz w:val="22"/>
            <w:szCs w:val="22"/>
          </w:rPr>
          <w:t>[3]</w:t>
        </w:r>
      </w:hyperlink>
      <w:r w:rsidR="00D03975" w:rsidRPr="004C739A">
        <w:rPr>
          <w:rFonts w:ascii="Helvetica" w:hAnsi="Helvetica" w:cs="Helvetica"/>
          <w:color w:val="1C1E29"/>
          <w:sz w:val="22"/>
          <w:szCs w:val="22"/>
        </w:rPr>
        <w:t xml:space="preserve"> Amnesty International, Behind Barbed Wire, 2018. </w:t>
      </w:r>
      <w:proofErr w:type="spellStart"/>
      <w:r w:rsidR="00D03975" w:rsidRPr="004C739A">
        <w:rPr>
          <w:rFonts w:ascii="Helvetica" w:hAnsi="Helvetica" w:cs="Helvetica"/>
          <w:color w:val="1C1E29"/>
          <w:sz w:val="22"/>
          <w:szCs w:val="22"/>
        </w:rPr>
        <w:t>pg</w:t>
      </w:r>
      <w:proofErr w:type="spellEnd"/>
      <w:r w:rsidR="00D03975" w:rsidRPr="004C739A">
        <w:rPr>
          <w:rFonts w:ascii="Helvetica" w:hAnsi="Helvetica" w:cs="Helvetica"/>
          <w:color w:val="1C1E29"/>
          <w:sz w:val="22"/>
          <w:szCs w:val="22"/>
        </w:rPr>
        <w:t xml:space="preserve"> 35 </w:t>
      </w:r>
    </w:p>
    <w:p w14:paraId="3EAB1A89" w14:textId="77777777" w:rsidR="006A13FB" w:rsidRPr="004C739A" w:rsidRDefault="006A13FB" w:rsidP="00D03975">
      <w:pPr>
        <w:jc w:val="both"/>
        <w:rPr>
          <w:rFonts w:ascii="Helvetica" w:eastAsia="Times New Roman" w:hAnsi="Helvetica" w:cs="Helvetica"/>
          <w:color w:val="333333"/>
          <w:sz w:val="22"/>
          <w:szCs w:val="22"/>
          <w:shd w:val="clear" w:color="auto" w:fill="FFFFFF"/>
        </w:rPr>
      </w:pPr>
    </w:p>
    <w:sectPr w:rsidR="006A13FB" w:rsidRPr="004C739A" w:rsidSect="001B5B5A">
      <w:footerReference w:type="even" r:id="rId9"/>
      <w:footerReference w:type="default" r:id="rId10"/>
      <w:pgSz w:w="11900" w:h="16840"/>
      <w:pgMar w:top="1440" w:right="110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A9720" w14:textId="77777777" w:rsidR="00367AF3" w:rsidRDefault="00367AF3" w:rsidP="00F774AC">
      <w:r>
        <w:separator/>
      </w:r>
    </w:p>
  </w:endnote>
  <w:endnote w:type="continuationSeparator" w:id="0">
    <w:p w14:paraId="3EF0BB14" w14:textId="77777777" w:rsidR="00367AF3" w:rsidRDefault="00367AF3" w:rsidP="00F7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3205318"/>
      <w:docPartObj>
        <w:docPartGallery w:val="Page Numbers (Bottom of Page)"/>
        <w:docPartUnique/>
      </w:docPartObj>
    </w:sdtPr>
    <w:sdtEndPr>
      <w:rPr>
        <w:rStyle w:val="PageNumber"/>
      </w:rPr>
    </w:sdtEndPr>
    <w:sdtContent>
      <w:p w14:paraId="6586B8C5" w14:textId="3AF9A2C5" w:rsidR="009F7D7D" w:rsidRDefault="009F7D7D" w:rsidP="00E77D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2FA3D" w14:textId="77777777" w:rsidR="009F7D7D" w:rsidRDefault="009F7D7D" w:rsidP="009F7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1755009"/>
      <w:docPartObj>
        <w:docPartGallery w:val="Page Numbers (Bottom of Page)"/>
        <w:docPartUnique/>
      </w:docPartObj>
    </w:sdtPr>
    <w:sdtEndPr>
      <w:rPr>
        <w:rStyle w:val="PageNumber"/>
      </w:rPr>
    </w:sdtEndPr>
    <w:sdtContent>
      <w:p w14:paraId="46E447EA" w14:textId="23EC16D9" w:rsidR="009F7D7D" w:rsidRDefault="009F7D7D" w:rsidP="00E77D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08F2">
          <w:rPr>
            <w:rStyle w:val="PageNumber"/>
            <w:noProof/>
          </w:rPr>
          <w:t>2</w:t>
        </w:r>
        <w:r>
          <w:rPr>
            <w:rStyle w:val="PageNumber"/>
          </w:rPr>
          <w:fldChar w:fldCharType="end"/>
        </w:r>
      </w:p>
    </w:sdtContent>
  </w:sdt>
  <w:p w14:paraId="3D9637B7" w14:textId="77777777" w:rsidR="009F7D7D" w:rsidRDefault="009F7D7D" w:rsidP="009F7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409F7" w14:textId="77777777" w:rsidR="00367AF3" w:rsidRDefault="00367AF3" w:rsidP="00F774AC">
      <w:r>
        <w:separator/>
      </w:r>
    </w:p>
  </w:footnote>
  <w:footnote w:type="continuationSeparator" w:id="0">
    <w:p w14:paraId="4FFA4AC9" w14:textId="77777777" w:rsidR="00367AF3" w:rsidRDefault="00367AF3" w:rsidP="00F77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281"/>
    <w:multiLevelType w:val="hybridMultilevel"/>
    <w:tmpl w:val="9F3E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F2240"/>
    <w:multiLevelType w:val="hybridMultilevel"/>
    <w:tmpl w:val="4EFA4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F21A3"/>
    <w:multiLevelType w:val="hybridMultilevel"/>
    <w:tmpl w:val="4EFA4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15D58"/>
    <w:multiLevelType w:val="hybridMultilevel"/>
    <w:tmpl w:val="883CDC0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75DE0DED"/>
    <w:multiLevelType w:val="multilevel"/>
    <w:tmpl w:val="BC40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yMrY0MjMwNDQxNjdV0lEKTi0uzszPAykwrAUAd9rkVSwAAAA="/>
  </w:docVars>
  <w:rsids>
    <w:rsidRoot w:val="00971097"/>
    <w:rsid w:val="00003A8C"/>
    <w:rsid w:val="00012263"/>
    <w:rsid w:val="0001635A"/>
    <w:rsid w:val="0001707A"/>
    <w:rsid w:val="0003423D"/>
    <w:rsid w:val="00034D2D"/>
    <w:rsid w:val="00094A6F"/>
    <w:rsid w:val="000A682D"/>
    <w:rsid w:val="000B25C5"/>
    <w:rsid w:val="000B65DC"/>
    <w:rsid w:val="000D7C86"/>
    <w:rsid w:val="00102E96"/>
    <w:rsid w:val="00117F3D"/>
    <w:rsid w:val="00130AC5"/>
    <w:rsid w:val="001B5B5A"/>
    <w:rsid w:val="001D638A"/>
    <w:rsid w:val="001F467A"/>
    <w:rsid w:val="002010E1"/>
    <w:rsid w:val="00201B97"/>
    <w:rsid w:val="00243A1E"/>
    <w:rsid w:val="00287FCA"/>
    <w:rsid w:val="002D6991"/>
    <w:rsid w:val="00304E53"/>
    <w:rsid w:val="00305D38"/>
    <w:rsid w:val="00317AF5"/>
    <w:rsid w:val="00323B2A"/>
    <w:rsid w:val="00367AF3"/>
    <w:rsid w:val="003E5D3E"/>
    <w:rsid w:val="003F50AA"/>
    <w:rsid w:val="004308F2"/>
    <w:rsid w:val="00455C5D"/>
    <w:rsid w:val="0049718B"/>
    <w:rsid w:val="004A5009"/>
    <w:rsid w:val="004B77DB"/>
    <w:rsid w:val="004C739A"/>
    <w:rsid w:val="005479C2"/>
    <w:rsid w:val="005E4DAA"/>
    <w:rsid w:val="00644CE3"/>
    <w:rsid w:val="006657C8"/>
    <w:rsid w:val="006A13FB"/>
    <w:rsid w:val="006F4DE5"/>
    <w:rsid w:val="00704586"/>
    <w:rsid w:val="0072310B"/>
    <w:rsid w:val="007419CF"/>
    <w:rsid w:val="00757BCE"/>
    <w:rsid w:val="0076718B"/>
    <w:rsid w:val="00790852"/>
    <w:rsid w:val="007A07F6"/>
    <w:rsid w:val="007A19D3"/>
    <w:rsid w:val="007B122D"/>
    <w:rsid w:val="007E0144"/>
    <w:rsid w:val="007E1881"/>
    <w:rsid w:val="00811DE2"/>
    <w:rsid w:val="00856213"/>
    <w:rsid w:val="00885FC0"/>
    <w:rsid w:val="0090745C"/>
    <w:rsid w:val="00956358"/>
    <w:rsid w:val="00971097"/>
    <w:rsid w:val="00974C2B"/>
    <w:rsid w:val="009E574D"/>
    <w:rsid w:val="009F7D7D"/>
    <w:rsid w:val="00A52A9A"/>
    <w:rsid w:val="00A53277"/>
    <w:rsid w:val="00A80B87"/>
    <w:rsid w:val="00A97F8E"/>
    <w:rsid w:val="00AA1316"/>
    <w:rsid w:val="00AB5515"/>
    <w:rsid w:val="00AD7693"/>
    <w:rsid w:val="00B50E67"/>
    <w:rsid w:val="00B818D0"/>
    <w:rsid w:val="00B831D7"/>
    <w:rsid w:val="00BB25C3"/>
    <w:rsid w:val="00C57408"/>
    <w:rsid w:val="00C71816"/>
    <w:rsid w:val="00C7295D"/>
    <w:rsid w:val="00CC4F6F"/>
    <w:rsid w:val="00CD58D2"/>
    <w:rsid w:val="00D01A78"/>
    <w:rsid w:val="00D03975"/>
    <w:rsid w:val="00D07A8C"/>
    <w:rsid w:val="00D2661D"/>
    <w:rsid w:val="00D4041F"/>
    <w:rsid w:val="00DB1569"/>
    <w:rsid w:val="00DD5E0C"/>
    <w:rsid w:val="00E025EF"/>
    <w:rsid w:val="00E225C8"/>
    <w:rsid w:val="00E34290"/>
    <w:rsid w:val="00E805BB"/>
    <w:rsid w:val="00E922BB"/>
    <w:rsid w:val="00E9715B"/>
    <w:rsid w:val="00EB78BA"/>
    <w:rsid w:val="00EC06C1"/>
    <w:rsid w:val="00F36F1D"/>
    <w:rsid w:val="00F45701"/>
    <w:rsid w:val="00F65360"/>
    <w:rsid w:val="00F74C12"/>
    <w:rsid w:val="00F774AC"/>
    <w:rsid w:val="00F92590"/>
    <w:rsid w:val="00F96353"/>
    <w:rsid w:val="00FD67CF"/>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F1FB"/>
  <w15:chartTrackingRefBased/>
  <w15:docId w15:val="{4F08FCC3-90F9-D043-B1A0-32C1D845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13FB"/>
    <w:rPr>
      <w:i/>
      <w:iCs/>
    </w:rPr>
  </w:style>
  <w:style w:type="character" w:styleId="FootnoteReference">
    <w:name w:val="footnote reference"/>
    <w:basedOn w:val="DefaultParagraphFont"/>
    <w:uiPriority w:val="99"/>
    <w:unhideWhenUsed/>
    <w:rsid w:val="00F774AC"/>
    <w:rPr>
      <w:vertAlign w:val="superscript"/>
    </w:rPr>
  </w:style>
  <w:style w:type="character" w:styleId="Hyperlink">
    <w:name w:val="Hyperlink"/>
    <w:basedOn w:val="DefaultParagraphFont"/>
    <w:uiPriority w:val="99"/>
    <w:unhideWhenUsed/>
    <w:rsid w:val="00F774AC"/>
    <w:rPr>
      <w:color w:val="0563C1" w:themeColor="hyperlink"/>
      <w:u w:val="single"/>
    </w:rPr>
  </w:style>
  <w:style w:type="paragraph" w:styleId="FootnoteText">
    <w:name w:val="footnote text"/>
    <w:basedOn w:val="Normal"/>
    <w:link w:val="FootnoteTextChar"/>
    <w:uiPriority w:val="99"/>
    <w:unhideWhenUsed/>
    <w:rsid w:val="00F774AC"/>
    <w:rPr>
      <w:sz w:val="20"/>
      <w:szCs w:val="20"/>
    </w:rPr>
  </w:style>
  <w:style w:type="character" w:customStyle="1" w:styleId="FootnoteTextChar">
    <w:name w:val="Footnote Text Char"/>
    <w:basedOn w:val="DefaultParagraphFont"/>
    <w:link w:val="FootnoteText"/>
    <w:uiPriority w:val="99"/>
    <w:rsid w:val="00F774AC"/>
    <w:rPr>
      <w:sz w:val="20"/>
      <w:szCs w:val="20"/>
    </w:rPr>
  </w:style>
  <w:style w:type="character" w:customStyle="1" w:styleId="apple-converted-space">
    <w:name w:val="apple-converted-space"/>
    <w:basedOn w:val="DefaultParagraphFont"/>
    <w:rsid w:val="00455C5D"/>
  </w:style>
  <w:style w:type="character" w:styleId="CommentReference">
    <w:name w:val="annotation reference"/>
    <w:basedOn w:val="DefaultParagraphFont"/>
    <w:uiPriority w:val="99"/>
    <w:semiHidden/>
    <w:unhideWhenUsed/>
    <w:rsid w:val="00003A8C"/>
    <w:rPr>
      <w:sz w:val="16"/>
      <w:szCs w:val="16"/>
    </w:rPr>
  </w:style>
  <w:style w:type="paragraph" w:styleId="CommentText">
    <w:name w:val="annotation text"/>
    <w:basedOn w:val="Normal"/>
    <w:link w:val="CommentTextChar"/>
    <w:uiPriority w:val="99"/>
    <w:unhideWhenUsed/>
    <w:rsid w:val="00003A8C"/>
    <w:rPr>
      <w:sz w:val="20"/>
      <w:szCs w:val="20"/>
    </w:rPr>
  </w:style>
  <w:style w:type="character" w:customStyle="1" w:styleId="CommentTextChar">
    <w:name w:val="Comment Text Char"/>
    <w:basedOn w:val="DefaultParagraphFont"/>
    <w:link w:val="CommentText"/>
    <w:uiPriority w:val="99"/>
    <w:rsid w:val="00003A8C"/>
    <w:rPr>
      <w:sz w:val="20"/>
      <w:szCs w:val="20"/>
    </w:rPr>
  </w:style>
  <w:style w:type="paragraph" w:styleId="CommentSubject">
    <w:name w:val="annotation subject"/>
    <w:basedOn w:val="CommentText"/>
    <w:next w:val="CommentText"/>
    <w:link w:val="CommentSubjectChar"/>
    <w:uiPriority w:val="99"/>
    <w:semiHidden/>
    <w:unhideWhenUsed/>
    <w:rsid w:val="00003A8C"/>
    <w:rPr>
      <w:b/>
      <w:bCs/>
    </w:rPr>
  </w:style>
  <w:style w:type="character" w:customStyle="1" w:styleId="CommentSubjectChar">
    <w:name w:val="Comment Subject Char"/>
    <w:basedOn w:val="CommentTextChar"/>
    <w:link w:val="CommentSubject"/>
    <w:uiPriority w:val="99"/>
    <w:semiHidden/>
    <w:rsid w:val="00003A8C"/>
    <w:rPr>
      <w:b/>
      <w:bCs/>
      <w:sz w:val="20"/>
      <w:szCs w:val="20"/>
    </w:rPr>
  </w:style>
  <w:style w:type="paragraph" w:styleId="BalloonText">
    <w:name w:val="Balloon Text"/>
    <w:basedOn w:val="Normal"/>
    <w:link w:val="BalloonTextChar"/>
    <w:uiPriority w:val="99"/>
    <w:semiHidden/>
    <w:unhideWhenUsed/>
    <w:rsid w:val="00003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A8C"/>
    <w:rPr>
      <w:rFonts w:ascii="Segoe UI" w:hAnsi="Segoe UI" w:cs="Segoe UI"/>
      <w:sz w:val="18"/>
      <w:szCs w:val="18"/>
    </w:rPr>
  </w:style>
  <w:style w:type="paragraph" w:styleId="Revision">
    <w:name w:val="Revision"/>
    <w:hidden/>
    <w:uiPriority w:val="99"/>
    <w:semiHidden/>
    <w:rsid w:val="00A97F8E"/>
  </w:style>
  <w:style w:type="paragraph" w:styleId="ListParagraph">
    <w:name w:val="List Paragraph"/>
    <w:basedOn w:val="Normal"/>
    <w:uiPriority w:val="34"/>
    <w:qFormat/>
    <w:rsid w:val="00C71816"/>
    <w:pPr>
      <w:ind w:left="720"/>
      <w:contextualSpacing/>
    </w:pPr>
  </w:style>
  <w:style w:type="paragraph" w:styleId="NormalWeb">
    <w:name w:val="Normal (Web)"/>
    <w:basedOn w:val="Normal"/>
    <w:uiPriority w:val="99"/>
    <w:unhideWhenUsed/>
    <w:rsid w:val="00D03975"/>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F7D7D"/>
    <w:pPr>
      <w:tabs>
        <w:tab w:val="center" w:pos="4680"/>
        <w:tab w:val="right" w:pos="9360"/>
      </w:tabs>
    </w:pPr>
  </w:style>
  <w:style w:type="character" w:customStyle="1" w:styleId="FooterChar">
    <w:name w:val="Footer Char"/>
    <w:basedOn w:val="DefaultParagraphFont"/>
    <w:link w:val="Footer"/>
    <w:uiPriority w:val="99"/>
    <w:rsid w:val="009F7D7D"/>
  </w:style>
  <w:style w:type="character" w:styleId="PageNumber">
    <w:name w:val="page number"/>
    <w:basedOn w:val="DefaultParagraphFont"/>
    <w:uiPriority w:val="99"/>
    <w:semiHidden/>
    <w:unhideWhenUsed/>
    <w:rsid w:val="009F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8868">
      <w:bodyDiv w:val="1"/>
      <w:marLeft w:val="0"/>
      <w:marRight w:val="0"/>
      <w:marTop w:val="0"/>
      <w:marBottom w:val="0"/>
      <w:divBdr>
        <w:top w:val="none" w:sz="0" w:space="0" w:color="auto"/>
        <w:left w:val="none" w:sz="0" w:space="0" w:color="auto"/>
        <w:bottom w:val="none" w:sz="0" w:space="0" w:color="auto"/>
        <w:right w:val="none" w:sz="0" w:space="0" w:color="auto"/>
      </w:divBdr>
    </w:div>
    <w:div w:id="267665169">
      <w:bodyDiv w:val="1"/>
      <w:marLeft w:val="0"/>
      <w:marRight w:val="0"/>
      <w:marTop w:val="0"/>
      <w:marBottom w:val="0"/>
      <w:divBdr>
        <w:top w:val="none" w:sz="0" w:space="0" w:color="auto"/>
        <w:left w:val="none" w:sz="0" w:space="0" w:color="auto"/>
        <w:bottom w:val="none" w:sz="0" w:space="0" w:color="auto"/>
        <w:right w:val="none" w:sz="0" w:space="0" w:color="auto"/>
      </w:divBdr>
    </w:div>
    <w:div w:id="355425587">
      <w:bodyDiv w:val="1"/>
      <w:marLeft w:val="0"/>
      <w:marRight w:val="0"/>
      <w:marTop w:val="0"/>
      <w:marBottom w:val="0"/>
      <w:divBdr>
        <w:top w:val="none" w:sz="0" w:space="0" w:color="auto"/>
        <w:left w:val="none" w:sz="0" w:space="0" w:color="auto"/>
        <w:bottom w:val="none" w:sz="0" w:space="0" w:color="auto"/>
        <w:right w:val="none" w:sz="0" w:space="0" w:color="auto"/>
      </w:divBdr>
      <w:divsChild>
        <w:div w:id="1677267499">
          <w:marLeft w:val="0"/>
          <w:marRight w:val="0"/>
          <w:marTop w:val="0"/>
          <w:marBottom w:val="0"/>
          <w:divBdr>
            <w:top w:val="none" w:sz="0" w:space="0" w:color="auto"/>
            <w:left w:val="none" w:sz="0" w:space="0" w:color="auto"/>
            <w:bottom w:val="none" w:sz="0" w:space="0" w:color="auto"/>
            <w:right w:val="none" w:sz="0" w:space="0" w:color="auto"/>
          </w:divBdr>
        </w:div>
        <w:div w:id="780957391">
          <w:marLeft w:val="0"/>
          <w:marRight w:val="0"/>
          <w:marTop w:val="0"/>
          <w:marBottom w:val="0"/>
          <w:divBdr>
            <w:top w:val="none" w:sz="0" w:space="0" w:color="auto"/>
            <w:left w:val="none" w:sz="0" w:space="0" w:color="auto"/>
            <w:bottom w:val="none" w:sz="0" w:space="0" w:color="auto"/>
            <w:right w:val="none" w:sz="0" w:space="0" w:color="auto"/>
          </w:divBdr>
          <w:divsChild>
            <w:div w:id="106587770">
              <w:marLeft w:val="0"/>
              <w:marRight w:val="0"/>
              <w:marTop w:val="0"/>
              <w:marBottom w:val="0"/>
              <w:divBdr>
                <w:top w:val="none" w:sz="0" w:space="0" w:color="auto"/>
                <w:left w:val="none" w:sz="0" w:space="0" w:color="auto"/>
                <w:bottom w:val="none" w:sz="0" w:space="0" w:color="auto"/>
                <w:right w:val="none" w:sz="0" w:space="0" w:color="auto"/>
              </w:divBdr>
            </w:div>
            <w:div w:id="1804687013">
              <w:marLeft w:val="0"/>
              <w:marRight w:val="0"/>
              <w:marTop w:val="0"/>
              <w:marBottom w:val="0"/>
              <w:divBdr>
                <w:top w:val="none" w:sz="0" w:space="0" w:color="auto"/>
                <w:left w:val="none" w:sz="0" w:space="0" w:color="auto"/>
                <w:bottom w:val="none" w:sz="0" w:space="0" w:color="auto"/>
                <w:right w:val="none" w:sz="0" w:space="0" w:color="auto"/>
              </w:divBdr>
            </w:div>
            <w:div w:id="474563570">
              <w:marLeft w:val="0"/>
              <w:marRight w:val="0"/>
              <w:marTop w:val="0"/>
              <w:marBottom w:val="0"/>
              <w:divBdr>
                <w:top w:val="none" w:sz="0" w:space="0" w:color="auto"/>
                <w:left w:val="none" w:sz="0" w:space="0" w:color="auto"/>
                <w:bottom w:val="none" w:sz="0" w:space="0" w:color="auto"/>
                <w:right w:val="none" w:sz="0" w:space="0" w:color="auto"/>
              </w:divBdr>
              <w:divsChild>
                <w:div w:id="425419225">
                  <w:marLeft w:val="0"/>
                  <w:marRight w:val="0"/>
                  <w:marTop w:val="0"/>
                  <w:marBottom w:val="0"/>
                  <w:divBdr>
                    <w:top w:val="none" w:sz="0" w:space="0" w:color="auto"/>
                    <w:left w:val="none" w:sz="0" w:space="0" w:color="auto"/>
                    <w:bottom w:val="none" w:sz="0" w:space="0" w:color="auto"/>
                    <w:right w:val="none" w:sz="0" w:space="0" w:color="auto"/>
                  </w:divBdr>
                </w:div>
                <w:div w:id="1808279502">
                  <w:marLeft w:val="0"/>
                  <w:marRight w:val="0"/>
                  <w:marTop w:val="0"/>
                  <w:marBottom w:val="0"/>
                  <w:divBdr>
                    <w:top w:val="none" w:sz="0" w:space="0" w:color="auto"/>
                    <w:left w:val="none" w:sz="0" w:space="0" w:color="auto"/>
                    <w:bottom w:val="none" w:sz="0" w:space="0" w:color="auto"/>
                    <w:right w:val="none" w:sz="0" w:space="0" w:color="auto"/>
                  </w:divBdr>
                  <w:divsChild>
                    <w:div w:id="1753507289">
                      <w:marLeft w:val="0"/>
                      <w:marRight w:val="0"/>
                      <w:marTop w:val="0"/>
                      <w:marBottom w:val="0"/>
                      <w:divBdr>
                        <w:top w:val="none" w:sz="0" w:space="0" w:color="auto"/>
                        <w:left w:val="none" w:sz="0" w:space="0" w:color="auto"/>
                        <w:bottom w:val="none" w:sz="0" w:space="0" w:color="auto"/>
                        <w:right w:val="none" w:sz="0" w:space="0" w:color="auto"/>
                      </w:divBdr>
                    </w:div>
                  </w:divsChild>
                </w:div>
                <w:div w:id="1511918263">
                  <w:marLeft w:val="0"/>
                  <w:marRight w:val="0"/>
                  <w:marTop w:val="0"/>
                  <w:marBottom w:val="0"/>
                  <w:divBdr>
                    <w:top w:val="none" w:sz="0" w:space="0" w:color="auto"/>
                    <w:left w:val="none" w:sz="0" w:space="0" w:color="auto"/>
                    <w:bottom w:val="none" w:sz="0" w:space="0" w:color="auto"/>
                    <w:right w:val="none" w:sz="0" w:space="0" w:color="auto"/>
                  </w:divBdr>
                  <w:divsChild>
                    <w:div w:id="310066790">
                      <w:marLeft w:val="0"/>
                      <w:marRight w:val="0"/>
                      <w:marTop w:val="0"/>
                      <w:marBottom w:val="0"/>
                      <w:divBdr>
                        <w:top w:val="none" w:sz="0" w:space="0" w:color="auto"/>
                        <w:left w:val="none" w:sz="0" w:space="0" w:color="auto"/>
                        <w:bottom w:val="none" w:sz="0" w:space="0" w:color="auto"/>
                        <w:right w:val="none" w:sz="0" w:space="0" w:color="auto"/>
                      </w:divBdr>
                    </w:div>
                  </w:divsChild>
                </w:div>
                <w:div w:id="721097318">
                  <w:marLeft w:val="0"/>
                  <w:marRight w:val="0"/>
                  <w:marTop w:val="0"/>
                  <w:marBottom w:val="0"/>
                  <w:divBdr>
                    <w:top w:val="none" w:sz="0" w:space="0" w:color="auto"/>
                    <w:left w:val="none" w:sz="0" w:space="0" w:color="auto"/>
                    <w:bottom w:val="none" w:sz="0" w:space="0" w:color="auto"/>
                    <w:right w:val="none" w:sz="0" w:space="0" w:color="auto"/>
                  </w:divBdr>
                </w:div>
                <w:div w:id="1642227527">
                  <w:marLeft w:val="0"/>
                  <w:marRight w:val="0"/>
                  <w:marTop w:val="0"/>
                  <w:marBottom w:val="0"/>
                  <w:divBdr>
                    <w:top w:val="none" w:sz="0" w:space="0" w:color="auto"/>
                    <w:left w:val="none" w:sz="0" w:space="0" w:color="auto"/>
                    <w:bottom w:val="none" w:sz="0" w:space="0" w:color="auto"/>
                    <w:right w:val="none" w:sz="0" w:space="0" w:color="auto"/>
                  </w:divBdr>
                </w:div>
                <w:div w:id="889922381">
                  <w:marLeft w:val="0"/>
                  <w:marRight w:val="0"/>
                  <w:marTop w:val="0"/>
                  <w:marBottom w:val="0"/>
                  <w:divBdr>
                    <w:top w:val="none" w:sz="0" w:space="0" w:color="auto"/>
                    <w:left w:val="none" w:sz="0" w:space="0" w:color="auto"/>
                    <w:bottom w:val="none" w:sz="0" w:space="0" w:color="auto"/>
                    <w:right w:val="none" w:sz="0" w:space="0" w:color="auto"/>
                  </w:divBdr>
                </w:div>
                <w:div w:id="13431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02386">
      <w:bodyDiv w:val="1"/>
      <w:marLeft w:val="0"/>
      <w:marRight w:val="0"/>
      <w:marTop w:val="0"/>
      <w:marBottom w:val="0"/>
      <w:divBdr>
        <w:top w:val="none" w:sz="0" w:space="0" w:color="auto"/>
        <w:left w:val="none" w:sz="0" w:space="0" w:color="auto"/>
        <w:bottom w:val="none" w:sz="0" w:space="0" w:color="auto"/>
        <w:right w:val="none" w:sz="0" w:space="0" w:color="auto"/>
      </w:divBdr>
    </w:div>
    <w:div w:id="430782443">
      <w:bodyDiv w:val="1"/>
      <w:marLeft w:val="0"/>
      <w:marRight w:val="0"/>
      <w:marTop w:val="0"/>
      <w:marBottom w:val="0"/>
      <w:divBdr>
        <w:top w:val="none" w:sz="0" w:space="0" w:color="auto"/>
        <w:left w:val="none" w:sz="0" w:space="0" w:color="auto"/>
        <w:bottom w:val="none" w:sz="0" w:space="0" w:color="auto"/>
        <w:right w:val="none" w:sz="0" w:space="0" w:color="auto"/>
      </w:divBdr>
    </w:div>
    <w:div w:id="918637275">
      <w:bodyDiv w:val="1"/>
      <w:marLeft w:val="0"/>
      <w:marRight w:val="0"/>
      <w:marTop w:val="0"/>
      <w:marBottom w:val="0"/>
      <w:divBdr>
        <w:top w:val="none" w:sz="0" w:space="0" w:color="auto"/>
        <w:left w:val="none" w:sz="0" w:space="0" w:color="auto"/>
        <w:bottom w:val="none" w:sz="0" w:space="0" w:color="auto"/>
        <w:right w:val="none" w:sz="0" w:space="0" w:color="auto"/>
      </w:divBdr>
    </w:div>
    <w:div w:id="1222981590">
      <w:bodyDiv w:val="1"/>
      <w:marLeft w:val="0"/>
      <w:marRight w:val="0"/>
      <w:marTop w:val="0"/>
      <w:marBottom w:val="0"/>
      <w:divBdr>
        <w:top w:val="none" w:sz="0" w:space="0" w:color="auto"/>
        <w:left w:val="none" w:sz="0" w:space="0" w:color="auto"/>
        <w:bottom w:val="none" w:sz="0" w:space="0" w:color="auto"/>
        <w:right w:val="none" w:sz="0" w:space="0" w:color="auto"/>
      </w:divBdr>
    </w:div>
    <w:div w:id="1347824994">
      <w:bodyDiv w:val="1"/>
      <w:marLeft w:val="0"/>
      <w:marRight w:val="0"/>
      <w:marTop w:val="0"/>
      <w:marBottom w:val="0"/>
      <w:divBdr>
        <w:top w:val="none" w:sz="0" w:space="0" w:color="auto"/>
        <w:left w:val="none" w:sz="0" w:space="0" w:color="auto"/>
        <w:bottom w:val="none" w:sz="0" w:space="0" w:color="auto"/>
        <w:right w:val="none" w:sz="0" w:space="0" w:color="auto"/>
      </w:divBdr>
    </w:div>
    <w:div w:id="1388139958">
      <w:bodyDiv w:val="1"/>
      <w:marLeft w:val="0"/>
      <w:marRight w:val="0"/>
      <w:marTop w:val="0"/>
      <w:marBottom w:val="0"/>
      <w:divBdr>
        <w:top w:val="none" w:sz="0" w:space="0" w:color="auto"/>
        <w:left w:val="none" w:sz="0" w:space="0" w:color="auto"/>
        <w:bottom w:val="none" w:sz="0" w:space="0" w:color="auto"/>
        <w:right w:val="none" w:sz="0" w:space="0" w:color="auto"/>
      </w:divBdr>
    </w:div>
    <w:div w:id="1473133454">
      <w:bodyDiv w:val="1"/>
      <w:marLeft w:val="0"/>
      <w:marRight w:val="0"/>
      <w:marTop w:val="0"/>
      <w:marBottom w:val="0"/>
      <w:divBdr>
        <w:top w:val="none" w:sz="0" w:space="0" w:color="auto"/>
        <w:left w:val="none" w:sz="0" w:space="0" w:color="auto"/>
        <w:bottom w:val="none" w:sz="0" w:space="0" w:color="auto"/>
        <w:right w:val="none" w:sz="0" w:space="0" w:color="auto"/>
      </w:divBdr>
    </w:div>
    <w:div w:id="20884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idc.org/admin/editor/uploads/files/pdf/hrcrep2018/Zone%20of%20Barbed%20Wires-Report%20-eng%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4566F-85F1-814E-8C1E-B79FE951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Piranishvili</dc:creator>
  <cp:keywords/>
  <dc:description/>
  <cp:lastModifiedBy>Teo Piranishvili</cp:lastModifiedBy>
  <cp:revision>15</cp:revision>
  <dcterms:created xsi:type="dcterms:W3CDTF">2019-11-26T07:03:00Z</dcterms:created>
  <dcterms:modified xsi:type="dcterms:W3CDTF">2019-11-27T07:59:00Z</dcterms:modified>
</cp:coreProperties>
</file>